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03" w:rsidRPr="007D7D03" w:rsidRDefault="007D7D03" w:rsidP="007D7D03">
      <w:pPr>
        <w:pStyle w:val="a4"/>
        <w:ind w:firstLine="709"/>
        <w:jc w:val="center"/>
        <w:rPr>
          <w:szCs w:val="28"/>
        </w:rPr>
      </w:pPr>
      <w:r w:rsidRPr="007D7D03">
        <w:rPr>
          <w:szCs w:val="28"/>
        </w:rPr>
        <w:t>ПРОЕКТ</w:t>
      </w: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r w:rsidRPr="007D7D03">
        <w:rPr>
          <w:szCs w:val="28"/>
        </w:rPr>
        <w:t>Прогноз</w:t>
      </w:r>
    </w:p>
    <w:p w:rsidR="007D7D03" w:rsidRPr="007D7D03" w:rsidRDefault="007D7D03" w:rsidP="007D7D03">
      <w:pPr>
        <w:pStyle w:val="a4"/>
        <w:ind w:firstLine="709"/>
        <w:jc w:val="center"/>
        <w:rPr>
          <w:szCs w:val="28"/>
        </w:rPr>
      </w:pPr>
      <w:r w:rsidRPr="007D7D03">
        <w:rPr>
          <w:szCs w:val="28"/>
        </w:rPr>
        <w:t>социально-экономического развития</w:t>
      </w:r>
    </w:p>
    <w:p w:rsidR="007D7D03" w:rsidRPr="007D7D03" w:rsidRDefault="007D7D03" w:rsidP="007D7D03">
      <w:pPr>
        <w:pStyle w:val="a4"/>
        <w:ind w:firstLine="709"/>
        <w:jc w:val="center"/>
        <w:rPr>
          <w:szCs w:val="28"/>
        </w:rPr>
      </w:pPr>
      <w:r w:rsidRPr="007D7D03">
        <w:rPr>
          <w:szCs w:val="28"/>
        </w:rPr>
        <w:t>муниципального района Белебеевский район Республики Башкортостан</w:t>
      </w:r>
    </w:p>
    <w:p w:rsidR="007D7D03" w:rsidRPr="007D7D03" w:rsidRDefault="007D7D03" w:rsidP="007D7D03">
      <w:pPr>
        <w:pStyle w:val="a4"/>
        <w:ind w:firstLine="709"/>
        <w:jc w:val="center"/>
        <w:rPr>
          <w:szCs w:val="28"/>
        </w:rPr>
      </w:pPr>
      <w:r w:rsidRPr="007D7D03">
        <w:rPr>
          <w:szCs w:val="28"/>
        </w:rPr>
        <w:t>на 202</w:t>
      </w:r>
      <w:r>
        <w:rPr>
          <w:szCs w:val="28"/>
        </w:rPr>
        <w:t>1</w:t>
      </w:r>
      <w:r w:rsidRPr="007D7D03">
        <w:rPr>
          <w:szCs w:val="28"/>
        </w:rPr>
        <w:t xml:space="preserve"> год и на плановый период 202</w:t>
      </w:r>
      <w:r>
        <w:rPr>
          <w:szCs w:val="28"/>
        </w:rPr>
        <w:t>2</w:t>
      </w:r>
      <w:r w:rsidRPr="007D7D03">
        <w:rPr>
          <w:szCs w:val="28"/>
        </w:rPr>
        <w:t xml:space="preserve"> и 202</w:t>
      </w:r>
      <w:r>
        <w:rPr>
          <w:szCs w:val="28"/>
        </w:rPr>
        <w:t>3</w:t>
      </w:r>
      <w:r w:rsidRPr="007D7D03">
        <w:rPr>
          <w:szCs w:val="28"/>
        </w:rPr>
        <w:t xml:space="preserve"> годов</w:t>
      </w: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Cs w:val="28"/>
        </w:rPr>
      </w:pPr>
    </w:p>
    <w:p w:rsidR="007D7D03" w:rsidRPr="007D7D03" w:rsidRDefault="007D7D03" w:rsidP="007D7D03">
      <w:pPr>
        <w:pStyle w:val="a4"/>
        <w:ind w:firstLine="709"/>
        <w:jc w:val="center"/>
        <w:rPr>
          <w:sz w:val="24"/>
          <w:szCs w:val="26"/>
        </w:rPr>
      </w:pPr>
    </w:p>
    <w:p w:rsidR="007D7D03" w:rsidRPr="007D7D03" w:rsidRDefault="007D7D03" w:rsidP="007D7D03">
      <w:pPr>
        <w:pStyle w:val="a4"/>
        <w:ind w:firstLine="709"/>
        <w:jc w:val="center"/>
        <w:rPr>
          <w:sz w:val="24"/>
          <w:szCs w:val="26"/>
        </w:rPr>
      </w:pPr>
    </w:p>
    <w:p w:rsidR="007D7D03" w:rsidRPr="007D7D03" w:rsidRDefault="007D7D03" w:rsidP="007D7D03">
      <w:pPr>
        <w:pStyle w:val="a4"/>
        <w:ind w:firstLine="709"/>
        <w:jc w:val="center"/>
        <w:rPr>
          <w:sz w:val="24"/>
          <w:szCs w:val="26"/>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7D7D03" w:rsidRDefault="007D7D03" w:rsidP="007D7D03">
      <w:pPr>
        <w:spacing w:line="264" w:lineRule="auto"/>
        <w:ind w:firstLine="709"/>
        <w:contextualSpacing/>
        <w:jc w:val="both"/>
        <w:rPr>
          <w:rFonts w:eastAsia="Calibri"/>
          <w:sz w:val="28"/>
          <w:szCs w:val="28"/>
        </w:rPr>
      </w:pPr>
    </w:p>
    <w:p w:rsidR="003610CF" w:rsidRDefault="003610CF" w:rsidP="007D7D03">
      <w:pPr>
        <w:pStyle w:val="a4"/>
        <w:ind w:firstLine="709"/>
        <w:jc w:val="center"/>
        <w:rPr>
          <w:sz w:val="24"/>
          <w:szCs w:val="26"/>
        </w:rPr>
      </w:pPr>
    </w:p>
    <w:p w:rsidR="00395F0C" w:rsidRDefault="00395F0C" w:rsidP="007D7D03">
      <w:pPr>
        <w:pStyle w:val="a4"/>
        <w:ind w:firstLine="709"/>
        <w:jc w:val="center"/>
        <w:rPr>
          <w:sz w:val="24"/>
          <w:szCs w:val="26"/>
        </w:rPr>
      </w:pPr>
    </w:p>
    <w:p w:rsidR="007D7D03" w:rsidRDefault="007D7D03" w:rsidP="007D7D03">
      <w:pPr>
        <w:pStyle w:val="a4"/>
        <w:ind w:firstLine="709"/>
        <w:jc w:val="center"/>
        <w:rPr>
          <w:sz w:val="24"/>
          <w:szCs w:val="26"/>
        </w:rPr>
      </w:pPr>
      <w:r>
        <w:rPr>
          <w:sz w:val="24"/>
          <w:szCs w:val="26"/>
        </w:rPr>
        <w:t>Введение</w:t>
      </w:r>
    </w:p>
    <w:p w:rsidR="00395F0C" w:rsidRDefault="00395F0C" w:rsidP="007D7D03">
      <w:pPr>
        <w:pStyle w:val="a4"/>
        <w:ind w:firstLine="709"/>
        <w:jc w:val="center"/>
        <w:rPr>
          <w:sz w:val="24"/>
          <w:szCs w:val="26"/>
        </w:rPr>
      </w:pPr>
    </w:p>
    <w:p w:rsidR="007D7D03" w:rsidRPr="007D7D03" w:rsidRDefault="007D7D03" w:rsidP="007D7D03">
      <w:pPr>
        <w:pStyle w:val="a4"/>
        <w:ind w:firstLine="709"/>
        <w:jc w:val="both"/>
        <w:rPr>
          <w:sz w:val="24"/>
          <w:szCs w:val="26"/>
        </w:rPr>
      </w:pPr>
      <w:proofErr w:type="gramStart"/>
      <w:r w:rsidRPr="007D7D03">
        <w:rPr>
          <w:sz w:val="24"/>
          <w:szCs w:val="26"/>
        </w:rPr>
        <w:t>Прогноз социально-экономического развития муниципального района Белебеевский район Республики Башкортостан на 2021 год и на плановый период 2022 и 2023 годов (далее – прогноз социально-экономического развития) подготовлен в соответствии с законами Республики Башкортостан «О стратегическом планировании в Республике Башкортостан»,      «О бюджетном процессе в Республике Башкортостан», постановлением Правительства Республики Башкортостан от 30 июля 2019 года № 454 «О порядке разработки и корректировки прогнозов социально-экономического</w:t>
      </w:r>
      <w:proofErr w:type="gramEnd"/>
      <w:r w:rsidRPr="007D7D03">
        <w:rPr>
          <w:sz w:val="24"/>
          <w:szCs w:val="26"/>
        </w:rPr>
        <w:t xml:space="preserve"> </w:t>
      </w:r>
      <w:proofErr w:type="gramStart"/>
      <w:r w:rsidRPr="007D7D03">
        <w:rPr>
          <w:sz w:val="24"/>
          <w:szCs w:val="26"/>
        </w:rPr>
        <w:t>развития Республики Башкортостан на среднесрочный и долгосрочный периоды», постановлением Администрации муниципального района Белебеевский район Республики Башкортостан от 31 июля 2015 года № 1579 «Об утверждении Порядка разработки, корректировки, осуществления мониторинга и контроля реализации прогнозов социально-экономического развития муниципального района Белебеевский район Республики Башкортостан на долгосрочный и среднесрочный период».</w:t>
      </w:r>
      <w:proofErr w:type="gramEnd"/>
    </w:p>
    <w:p w:rsidR="007D7D03" w:rsidRPr="007D7D03" w:rsidRDefault="007D7D03" w:rsidP="007D7D03">
      <w:pPr>
        <w:pStyle w:val="a4"/>
        <w:ind w:firstLine="709"/>
        <w:jc w:val="both"/>
        <w:rPr>
          <w:sz w:val="24"/>
          <w:szCs w:val="26"/>
        </w:rPr>
      </w:pPr>
      <w:proofErr w:type="gramStart"/>
      <w:r w:rsidRPr="007D7D03">
        <w:rPr>
          <w:sz w:val="24"/>
          <w:szCs w:val="26"/>
        </w:rPr>
        <w:t>Разработка прогноза социально-экономического развития осуществлялась исходя               из ориентиров и приоритетов,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Стратегии социально-экономического развития Республики Башкортостан на период до 2030 года, стратегии социально-экономического развития муниципального района Белебеевский район Республики Башкортостан до 2030 года, задач, поставленных</w:t>
      </w:r>
      <w:proofErr w:type="gramEnd"/>
      <w:r w:rsidRPr="007D7D03">
        <w:rPr>
          <w:sz w:val="24"/>
          <w:szCs w:val="26"/>
        </w:rPr>
        <w:t xml:space="preserve"> Президентом Российской Федерации и Главой Республики Башкортостан.</w:t>
      </w:r>
    </w:p>
    <w:p w:rsidR="007D7D03" w:rsidRPr="003610CF" w:rsidRDefault="007D7D03" w:rsidP="007D7D03">
      <w:pPr>
        <w:pStyle w:val="a4"/>
        <w:ind w:firstLine="709"/>
        <w:jc w:val="both"/>
        <w:rPr>
          <w:sz w:val="24"/>
          <w:szCs w:val="26"/>
        </w:rPr>
      </w:pPr>
      <w:r w:rsidRPr="007D7D03">
        <w:rPr>
          <w:sz w:val="24"/>
          <w:szCs w:val="26"/>
        </w:rPr>
        <w:t xml:space="preserve">Прогноз </w:t>
      </w:r>
      <w:proofErr w:type="gramStart"/>
      <w:r w:rsidRPr="007D7D03">
        <w:rPr>
          <w:sz w:val="24"/>
          <w:szCs w:val="26"/>
        </w:rPr>
        <w:t>социально-экономического</w:t>
      </w:r>
      <w:proofErr w:type="gramEnd"/>
      <w:r w:rsidRPr="007D7D03">
        <w:rPr>
          <w:sz w:val="24"/>
          <w:szCs w:val="26"/>
        </w:rPr>
        <w:t xml:space="preserve"> развития разработан в трех вариантах: </w:t>
      </w:r>
      <w:r w:rsidRPr="003610CF">
        <w:rPr>
          <w:sz w:val="24"/>
          <w:szCs w:val="26"/>
        </w:rPr>
        <w:t>консервативный, базовый и целевой.</w:t>
      </w:r>
    </w:p>
    <w:p w:rsidR="007D7D03" w:rsidRPr="003610CF" w:rsidRDefault="007D7D03" w:rsidP="007D7D03">
      <w:pPr>
        <w:pStyle w:val="a4"/>
        <w:ind w:firstLine="709"/>
        <w:jc w:val="both"/>
        <w:rPr>
          <w:sz w:val="24"/>
          <w:szCs w:val="26"/>
        </w:rPr>
      </w:pPr>
      <w:r w:rsidRPr="003610CF">
        <w:rPr>
          <w:sz w:val="24"/>
          <w:szCs w:val="26"/>
        </w:rPr>
        <w:t xml:space="preserve">В базовом варианте прогноза закладывается постепенное повышение цены на нефть </w:t>
      </w:r>
      <w:proofErr w:type="spellStart"/>
      <w:r w:rsidR="003610CF" w:rsidRPr="003610CF">
        <w:rPr>
          <w:sz w:val="24"/>
          <w:szCs w:val="26"/>
        </w:rPr>
        <w:t>Urals</w:t>
      </w:r>
      <w:proofErr w:type="spellEnd"/>
      <w:r w:rsidR="003610CF" w:rsidRPr="003610CF">
        <w:rPr>
          <w:sz w:val="24"/>
          <w:szCs w:val="26"/>
        </w:rPr>
        <w:t xml:space="preserve"> </w:t>
      </w:r>
      <w:r w:rsidRPr="003610CF">
        <w:rPr>
          <w:sz w:val="24"/>
          <w:szCs w:val="26"/>
        </w:rPr>
        <w:t xml:space="preserve">с </w:t>
      </w:r>
      <w:r w:rsidR="00A91182" w:rsidRPr="003610CF">
        <w:rPr>
          <w:sz w:val="24"/>
          <w:szCs w:val="26"/>
        </w:rPr>
        <w:t>45,3</w:t>
      </w:r>
      <w:r w:rsidRPr="003610CF">
        <w:rPr>
          <w:sz w:val="24"/>
          <w:szCs w:val="26"/>
        </w:rPr>
        <w:t xml:space="preserve"> долларов США за баррель в 202</w:t>
      </w:r>
      <w:r w:rsidR="00A91182" w:rsidRPr="003610CF">
        <w:rPr>
          <w:sz w:val="24"/>
          <w:szCs w:val="26"/>
        </w:rPr>
        <w:t>1</w:t>
      </w:r>
      <w:r w:rsidRPr="003610CF">
        <w:rPr>
          <w:sz w:val="24"/>
          <w:szCs w:val="26"/>
        </w:rPr>
        <w:t xml:space="preserve"> году до </w:t>
      </w:r>
      <w:r w:rsidR="00A91182" w:rsidRPr="003610CF">
        <w:rPr>
          <w:sz w:val="24"/>
          <w:szCs w:val="26"/>
        </w:rPr>
        <w:t>47,5 долларов США за баррель в 2023</w:t>
      </w:r>
      <w:r w:rsidRPr="003610CF">
        <w:rPr>
          <w:sz w:val="24"/>
          <w:szCs w:val="26"/>
        </w:rPr>
        <w:t xml:space="preserve"> году. Курс доллара США при этом ожидается в границах </w:t>
      </w:r>
      <w:r w:rsidR="00A91182" w:rsidRPr="003610CF">
        <w:rPr>
          <w:sz w:val="24"/>
          <w:szCs w:val="26"/>
        </w:rPr>
        <w:t xml:space="preserve">71,2-73,8 </w:t>
      </w:r>
      <w:r w:rsidRPr="003610CF">
        <w:rPr>
          <w:sz w:val="24"/>
          <w:szCs w:val="26"/>
        </w:rPr>
        <w:t>рубля за доллар США.</w:t>
      </w:r>
    </w:p>
    <w:p w:rsidR="007D7D03" w:rsidRPr="007D7D03" w:rsidRDefault="007D7D03" w:rsidP="007D7D03">
      <w:pPr>
        <w:pStyle w:val="a4"/>
        <w:ind w:firstLine="709"/>
        <w:jc w:val="both"/>
        <w:rPr>
          <w:sz w:val="24"/>
          <w:szCs w:val="26"/>
        </w:rPr>
      </w:pPr>
      <w:r w:rsidRPr="003610CF">
        <w:rPr>
          <w:sz w:val="24"/>
          <w:szCs w:val="26"/>
        </w:rPr>
        <w:t xml:space="preserve">Консервативный вариант рассматривает сценарий в условиях более низкой динамики цены на нефть марки </w:t>
      </w:r>
      <w:proofErr w:type="spellStart"/>
      <w:r w:rsidRPr="003610CF">
        <w:rPr>
          <w:sz w:val="24"/>
          <w:szCs w:val="26"/>
        </w:rPr>
        <w:t>Urals</w:t>
      </w:r>
      <w:proofErr w:type="spellEnd"/>
      <w:r w:rsidRPr="003610CF">
        <w:rPr>
          <w:sz w:val="24"/>
          <w:szCs w:val="26"/>
        </w:rPr>
        <w:t xml:space="preserve">, высокой </w:t>
      </w:r>
      <w:proofErr w:type="spellStart"/>
      <w:r w:rsidRPr="003610CF">
        <w:rPr>
          <w:sz w:val="24"/>
          <w:szCs w:val="26"/>
        </w:rPr>
        <w:t>волатильности</w:t>
      </w:r>
      <w:proofErr w:type="spellEnd"/>
      <w:r w:rsidRPr="003610CF">
        <w:rPr>
          <w:sz w:val="24"/>
          <w:szCs w:val="26"/>
        </w:rPr>
        <w:t xml:space="preserve"> курса рубля и сдержанной динамики социально-экономического развития относительно базового варианта прогноза. Целевой вариант </w:t>
      </w:r>
      <w:proofErr w:type="gramStart"/>
      <w:r w:rsidRPr="003610CF">
        <w:rPr>
          <w:sz w:val="24"/>
          <w:szCs w:val="26"/>
        </w:rPr>
        <w:t>отражает развитие экономики в условиях реализации активной государственной политики и исходит</w:t>
      </w:r>
      <w:proofErr w:type="gramEnd"/>
      <w:r w:rsidRPr="003610CF">
        <w:rPr>
          <w:sz w:val="24"/>
          <w:szCs w:val="26"/>
        </w:rPr>
        <w:t xml:space="preserve"> из более высоких темпов экономического</w:t>
      </w:r>
      <w:r w:rsidRPr="007D7D03">
        <w:rPr>
          <w:sz w:val="24"/>
          <w:szCs w:val="26"/>
        </w:rPr>
        <w:t xml:space="preserve"> роста.</w:t>
      </w:r>
    </w:p>
    <w:p w:rsidR="007D7D03" w:rsidRPr="007D7D03" w:rsidRDefault="007D7D03" w:rsidP="007D7D03">
      <w:pPr>
        <w:pStyle w:val="a4"/>
        <w:ind w:firstLine="709"/>
        <w:jc w:val="both"/>
        <w:rPr>
          <w:sz w:val="24"/>
          <w:szCs w:val="26"/>
        </w:rPr>
      </w:pPr>
      <w:r w:rsidRPr="007D7D03">
        <w:rPr>
          <w:sz w:val="24"/>
          <w:szCs w:val="26"/>
        </w:rPr>
        <w:t xml:space="preserve">Прогнозные параметры согласованы с Министерством </w:t>
      </w:r>
      <w:proofErr w:type="gramStart"/>
      <w:r w:rsidRPr="007D7D03">
        <w:rPr>
          <w:sz w:val="24"/>
          <w:szCs w:val="26"/>
        </w:rPr>
        <w:t>экономического</w:t>
      </w:r>
      <w:proofErr w:type="gramEnd"/>
      <w:r w:rsidRPr="007D7D03">
        <w:rPr>
          <w:sz w:val="24"/>
          <w:szCs w:val="26"/>
        </w:rPr>
        <w:t xml:space="preserve"> развития и инвестиционной политики Республики Башкортостан.</w:t>
      </w:r>
    </w:p>
    <w:p w:rsidR="007D7D03" w:rsidRPr="007D7D03" w:rsidRDefault="007D7D03" w:rsidP="007D7D03">
      <w:pPr>
        <w:pStyle w:val="a4"/>
        <w:ind w:firstLine="709"/>
        <w:jc w:val="both"/>
        <w:rPr>
          <w:sz w:val="24"/>
          <w:szCs w:val="26"/>
        </w:rPr>
      </w:pPr>
      <w:r w:rsidRPr="007D7D03">
        <w:rPr>
          <w:sz w:val="24"/>
          <w:szCs w:val="26"/>
        </w:rPr>
        <w:t>Основные показатели прогноза социально-экономического развития приведены в приложении.</w:t>
      </w:r>
    </w:p>
    <w:p w:rsidR="007D7D03" w:rsidRPr="007D7D03" w:rsidRDefault="007D7D03" w:rsidP="007D7D03">
      <w:pPr>
        <w:pStyle w:val="a4"/>
        <w:ind w:firstLine="709"/>
        <w:jc w:val="both"/>
        <w:rPr>
          <w:color w:val="FF0000"/>
          <w:sz w:val="24"/>
          <w:szCs w:val="26"/>
        </w:rPr>
      </w:pPr>
    </w:p>
    <w:p w:rsidR="007D7D03" w:rsidRPr="007D7D03" w:rsidRDefault="007D7D03" w:rsidP="007D7D03">
      <w:pPr>
        <w:pStyle w:val="a4"/>
        <w:ind w:firstLine="709"/>
        <w:jc w:val="both"/>
        <w:rPr>
          <w:color w:val="FF0000"/>
          <w:sz w:val="24"/>
          <w:szCs w:val="26"/>
        </w:rPr>
      </w:pPr>
    </w:p>
    <w:p w:rsidR="007D7D03" w:rsidRDefault="007D7D03"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3610CF" w:rsidRDefault="003610CF" w:rsidP="007D7D03">
      <w:pPr>
        <w:pStyle w:val="a4"/>
        <w:ind w:firstLine="709"/>
        <w:jc w:val="both"/>
        <w:rPr>
          <w:sz w:val="24"/>
          <w:szCs w:val="26"/>
        </w:rPr>
      </w:pPr>
    </w:p>
    <w:p w:rsidR="00825674" w:rsidRPr="003610CF" w:rsidRDefault="00825674" w:rsidP="00ED0538">
      <w:pPr>
        <w:pStyle w:val="1"/>
        <w:ind w:firstLine="709"/>
        <w:rPr>
          <w:i w:val="0"/>
          <w:sz w:val="24"/>
        </w:rPr>
      </w:pPr>
      <w:r w:rsidRPr="003610CF">
        <w:rPr>
          <w:i w:val="0"/>
          <w:sz w:val="24"/>
        </w:rPr>
        <w:lastRenderedPageBreak/>
        <w:t>Пояснительная записка</w:t>
      </w:r>
    </w:p>
    <w:p w:rsidR="00825674" w:rsidRPr="003610CF" w:rsidRDefault="00861654" w:rsidP="00ED0538">
      <w:pPr>
        <w:pStyle w:val="1"/>
        <w:ind w:firstLine="709"/>
        <w:rPr>
          <w:i w:val="0"/>
          <w:sz w:val="24"/>
        </w:rPr>
      </w:pPr>
      <w:r w:rsidRPr="003610CF">
        <w:rPr>
          <w:i w:val="0"/>
          <w:sz w:val="24"/>
        </w:rPr>
        <w:t xml:space="preserve">к </w:t>
      </w:r>
      <w:r w:rsidR="003610CF" w:rsidRPr="003610CF">
        <w:rPr>
          <w:i w:val="0"/>
          <w:sz w:val="24"/>
        </w:rPr>
        <w:t xml:space="preserve">основным показателям </w:t>
      </w:r>
      <w:r w:rsidR="004D2A00" w:rsidRPr="003610CF">
        <w:rPr>
          <w:i w:val="0"/>
          <w:sz w:val="24"/>
        </w:rPr>
        <w:t>прогноз</w:t>
      </w:r>
      <w:r w:rsidR="003610CF" w:rsidRPr="003610CF">
        <w:rPr>
          <w:i w:val="0"/>
          <w:sz w:val="24"/>
        </w:rPr>
        <w:t>а</w:t>
      </w:r>
      <w:r w:rsidR="004D2A00" w:rsidRPr="003610CF">
        <w:rPr>
          <w:i w:val="0"/>
          <w:sz w:val="24"/>
        </w:rPr>
        <w:t xml:space="preserve"> социально-экономического развития </w:t>
      </w:r>
    </w:p>
    <w:p w:rsidR="003610CF" w:rsidRPr="003610CF" w:rsidRDefault="003610CF" w:rsidP="003610CF"/>
    <w:p w:rsidR="0040756E" w:rsidRPr="00FF05BF" w:rsidRDefault="0040756E" w:rsidP="00ED0538">
      <w:pPr>
        <w:pStyle w:val="a4"/>
        <w:ind w:firstLine="709"/>
        <w:jc w:val="both"/>
        <w:rPr>
          <w:sz w:val="24"/>
        </w:rPr>
      </w:pPr>
      <w:r w:rsidRPr="00FF05BF">
        <w:rPr>
          <w:sz w:val="24"/>
        </w:rPr>
        <w:t>В сфере добычи полезных ископаемых, обрабатывающих производств, производства и распределения электроэнергии газа и воды занято 50% всех работников предприятий и организаций района.</w:t>
      </w:r>
    </w:p>
    <w:p w:rsidR="0040756E" w:rsidRPr="00FF05BF" w:rsidRDefault="0040756E" w:rsidP="00ED0538">
      <w:pPr>
        <w:pStyle w:val="a4"/>
        <w:ind w:firstLine="709"/>
        <w:jc w:val="both"/>
        <w:rPr>
          <w:sz w:val="24"/>
        </w:rPr>
      </w:pPr>
      <w:r w:rsidRPr="00FF05BF">
        <w:rPr>
          <w:sz w:val="24"/>
        </w:rPr>
        <w:t>Роль промышленности в формировании бюджетов всех уровней и значительное число работников, занятых в отрасли, позволяют отнести успешное развитие промышленного комплекса к основным факторам экономической и социальной стабильности в районе.</w:t>
      </w:r>
    </w:p>
    <w:p w:rsidR="0040756E" w:rsidRPr="00FF05BF" w:rsidRDefault="0040756E" w:rsidP="00ED0538">
      <w:pPr>
        <w:pStyle w:val="a4"/>
        <w:ind w:firstLine="709"/>
        <w:jc w:val="both"/>
        <w:rPr>
          <w:bCs/>
          <w:sz w:val="24"/>
        </w:rPr>
      </w:pPr>
      <w:proofErr w:type="gramStart"/>
      <w:r w:rsidRPr="00FF05BF">
        <w:rPr>
          <w:sz w:val="24"/>
        </w:rPr>
        <w:t xml:space="preserve">По итогам работы в 2019 году крупными и средними </w:t>
      </w:r>
      <w:r w:rsidRPr="00FF05BF">
        <w:rPr>
          <w:bCs/>
          <w:sz w:val="24"/>
        </w:rPr>
        <w:t xml:space="preserve">промышленными предприятиями муниципального района отгружено продукции и оказано услуг промышленного характера </w:t>
      </w:r>
      <w:r w:rsidRPr="00FF05BF">
        <w:rPr>
          <w:sz w:val="24"/>
        </w:rPr>
        <w:t xml:space="preserve">на сумму 20 млрд. 358 </w:t>
      </w:r>
      <w:r w:rsidRPr="00FF05BF">
        <w:rPr>
          <w:bCs/>
          <w:sz w:val="24"/>
        </w:rPr>
        <w:t>млн. рублей, что составило 92,</w:t>
      </w:r>
      <w:r w:rsidR="00FF05BF" w:rsidRPr="00FF05BF">
        <w:rPr>
          <w:bCs/>
          <w:sz w:val="24"/>
        </w:rPr>
        <w:t>2</w:t>
      </w:r>
      <w:r w:rsidRPr="00FF05BF">
        <w:rPr>
          <w:bCs/>
          <w:sz w:val="24"/>
        </w:rPr>
        <w:t>% общего объема отгрузки товаров собственного производства, выполненных работ и услуг собственного производства по Белебеевскому району и на 7,</w:t>
      </w:r>
      <w:r w:rsidR="00FF05BF" w:rsidRPr="00FF05BF">
        <w:rPr>
          <w:bCs/>
          <w:sz w:val="24"/>
        </w:rPr>
        <w:t>8</w:t>
      </w:r>
      <w:r w:rsidRPr="00FF05BF">
        <w:rPr>
          <w:sz w:val="24"/>
        </w:rPr>
        <w:t xml:space="preserve"> % меньше, чем в 2018 году.</w:t>
      </w:r>
      <w:proofErr w:type="gramEnd"/>
    </w:p>
    <w:p w:rsidR="0040756E" w:rsidRPr="00FF05BF" w:rsidRDefault="0040756E" w:rsidP="00ED0538">
      <w:pPr>
        <w:pStyle w:val="a4"/>
        <w:ind w:firstLine="709"/>
        <w:jc w:val="both"/>
        <w:rPr>
          <w:bCs/>
          <w:sz w:val="24"/>
        </w:rPr>
      </w:pPr>
      <w:r w:rsidRPr="00FF05BF">
        <w:rPr>
          <w:bCs/>
          <w:sz w:val="24"/>
        </w:rPr>
        <w:t>Отраслевая структура промышленного комплекса представлена на диаграмме.</w:t>
      </w:r>
    </w:p>
    <w:p w:rsidR="0040756E" w:rsidRPr="00E0032C" w:rsidRDefault="0040756E" w:rsidP="00ED0538">
      <w:pPr>
        <w:spacing w:after="0" w:line="240" w:lineRule="auto"/>
        <w:ind w:firstLine="709"/>
        <w:jc w:val="center"/>
        <w:rPr>
          <w:rFonts w:ascii="Times New Roman" w:hAnsi="Times New Roman" w:cs="Times New Roman"/>
          <w:b/>
          <w:color w:val="FF0000"/>
          <w:sz w:val="24"/>
          <w:szCs w:val="24"/>
        </w:rPr>
      </w:pPr>
    </w:p>
    <w:p w:rsidR="0040756E" w:rsidRPr="00FF05BF" w:rsidRDefault="0040756E" w:rsidP="00ED0538">
      <w:pPr>
        <w:pStyle w:val="a4"/>
        <w:ind w:firstLine="709"/>
        <w:jc w:val="center"/>
        <w:rPr>
          <w:bCs/>
          <w:sz w:val="24"/>
        </w:rPr>
      </w:pPr>
      <w:r w:rsidRPr="00FF05BF">
        <w:rPr>
          <w:bCs/>
          <w:sz w:val="24"/>
        </w:rPr>
        <w:t>Структура формирования объемов отгрузки организаций Белебеевского района</w:t>
      </w:r>
    </w:p>
    <w:p w:rsidR="0040756E" w:rsidRPr="00FF05BF" w:rsidRDefault="0040756E" w:rsidP="00ED0538">
      <w:pPr>
        <w:pStyle w:val="a4"/>
        <w:ind w:firstLine="709"/>
        <w:jc w:val="center"/>
        <w:rPr>
          <w:bCs/>
          <w:sz w:val="24"/>
        </w:rPr>
      </w:pPr>
      <w:r w:rsidRPr="00FF05BF">
        <w:rPr>
          <w:bCs/>
          <w:sz w:val="24"/>
        </w:rPr>
        <w:t>по предприятиям промышленного комплекса в 2019 году</w:t>
      </w:r>
    </w:p>
    <w:p w:rsidR="0040756E" w:rsidRPr="00FF05BF" w:rsidRDefault="0040756E" w:rsidP="00ED0538">
      <w:pPr>
        <w:pStyle w:val="a4"/>
        <w:ind w:firstLine="709"/>
        <w:jc w:val="center"/>
        <w:rPr>
          <w:bCs/>
          <w:sz w:val="24"/>
        </w:rPr>
      </w:pPr>
      <w:r w:rsidRPr="00FF05BF">
        <w:rPr>
          <w:bCs/>
          <w:sz w:val="24"/>
        </w:rPr>
        <w:t>по полному кругу предприятий</w:t>
      </w:r>
    </w:p>
    <w:p w:rsidR="0040756E" w:rsidRPr="00FF05BF" w:rsidRDefault="0040756E" w:rsidP="00ED0538">
      <w:pPr>
        <w:pStyle w:val="a4"/>
        <w:ind w:firstLine="709"/>
        <w:jc w:val="right"/>
        <w:rPr>
          <w:bCs/>
          <w:sz w:val="24"/>
        </w:rPr>
      </w:pPr>
      <w:r w:rsidRPr="00FF05BF">
        <w:rPr>
          <w:bCs/>
          <w:sz w:val="24"/>
        </w:rPr>
        <w:t xml:space="preserve"> (</w:t>
      </w:r>
      <w:proofErr w:type="gramStart"/>
      <w:r w:rsidRPr="00FF05BF">
        <w:rPr>
          <w:bCs/>
          <w:sz w:val="24"/>
        </w:rPr>
        <w:t>в</w:t>
      </w:r>
      <w:proofErr w:type="gramEnd"/>
      <w:r w:rsidRPr="00FF05BF">
        <w:rPr>
          <w:bCs/>
          <w:sz w:val="24"/>
        </w:rPr>
        <w:t xml:space="preserve"> % </w:t>
      </w:r>
      <w:proofErr w:type="gramStart"/>
      <w:r w:rsidRPr="00FF05BF">
        <w:rPr>
          <w:bCs/>
          <w:sz w:val="24"/>
        </w:rPr>
        <w:t>к</w:t>
      </w:r>
      <w:proofErr w:type="gramEnd"/>
      <w:r w:rsidRPr="00FF05BF">
        <w:rPr>
          <w:bCs/>
          <w:sz w:val="24"/>
        </w:rPr>
        <w:t xml:space="preserve"> общему объему отгрузки)</w:t>
      </w:r>
    </w:p>
    <w:p w:rsidR="0040756E" w:rsidRPr="00FF05BF" w:rsidRDefault="00052EF0" w:rsidP="00722A81">
      <w:pPr>
        <w:spacing w:after="0" w:line="240" w:lineRule="auto"/>
        <w:jc w:val="center"/>
        <w:rPr>
          <w:rFonts w:ascii="Times New Roman" w:hAnsi="Times New Roman" w:cs="Times New Roman"/>
          <w:bCs/>
          <w:sz w:val="26"/>
          <w:szCs w:val="26"/>
        </w:rPr>
      </w:pPr>
      <w:r w:rsidRPr="00FF05BF">
        <w:rPr>
          <w:rFonts w:ascii="Arial" w:hAnsi="Arial" w:cs="Arial"/>
          <w:bCs/>
          <w:noProof/>
          <w:sz w:val="26"/>
          <w:szCs w:val="26"/>
        </w:rPr>
        <w:drawing>
          <wp:inline distT="0" distB="0" distL="0" distR="0">
            <wp:extent cx="6289481" cy="3745064"/>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05BF" w:rsidRPr="00FF05BF" w:rsidRDefault="00FF05BF" w:rsidP="00FF05BF">
      <w:pPr>
        <w:pStyle w:val="a4"/>
        <w:ind w:firstLine="709"/>
        <w:jc w:val="both"/>
        <w:rPr>
          <w:sz w:val="24"/>
        </w:rPr>
      </w:pPr>
      <w:proofErr w:type="gramStart"/>
      <w:r w:rsidRPr="00FF05BF">
        <w:rPr>
          <w:sz w:val="24"/>
        </w:rPr>
        <w:t>Предприятиями в сфере добычи полезных ископаемых отгружено продукции (оказано услуг) на сумму 0,8 млрд. рублей (на 10% меньше чем в 2018 году), в сфере обрабатывающих производств отгружено продукции, (оказано услуг) - на сумму 17,2 млрд. рублей (на 6,5% меньше, чем в 2018 году), предприятиями обеспечения электрической энергией, газом и паром, кондиционированием воздуха, водоснабжения, водоотведения, организации сбора и утилизации отходов, деятельности по</w:t>
      </w:r>
      <w:proofErr w:type="gramEnd"/>
      <w:r w:rsidRPr="00FF05BF">
        <w:rPr>
          <w:sz w:val="24"/>
        </w:rPr>
        <w:t xml:space="preserve"> ликвидации загрязнений - на сумму 2,75 млрд. рублей (на 5 % больше показателей 2018 года).</w:t>
      </w:r>
    </w:p>
    <w:p w:rsidR="00FF05BF" w:rsidRPr="00FF05BF" w:rsidRDefault="00FF05BF" w:rsidP="00FF05BF">
      <w:pPr>
        <w:pStyle w:val="a4"/>
        <w:ind w:firstLine="540"/>
        <w:jc w:val="both"/>
        <w:rPr>
          <w:sz w:val="24"/>
        </w:rPr>
      </w:pPr>
      <w:r w:rsidRPr="00FF05BF">
        <w:rPr>
          <w:sz w:val="24"/>
        </w:rPr>
        <w:t xml:space="preserve">В разрезе предприятий </w:t>
      </w:r>
      <w:proofErr w:type="spellStart"/>
      <w:r w:rsidRPr="00FF05BF">
        <w:rPr>
          <w:sz w:val="24"/>
        </w:rPr>
        <w:t>Белебеевского</w:t>
      </w:r>
      <w:proofErr w:type="spellEnd"/>
      <w:r w:rsidRPr="00FF05BF">
        <w:rPr>
          <w:sz w:val="24"/>
        </w:rPr>
        <w:t xml:space="preserve"> района с наиболее весомыми положительными темпами роста объемов производства отработали: ООО «</w:t>
      </w:r>
      <w:proofErr w:type="spellStart"/>
      <w:r w:rsidRPr="00FF05BF">
        <w:rPr>
          <w:sz w:val="24"/>
        </w:rPr>
        <w:t>Белебеевское</w:t>
      </w:r>
      <w:proofErr w:type="spellEnd"/>
      <w:r w:rsidRPr="00FF05BF">
        <w:rPr>
          <w:sz w:val="24"/>
        </w:rPr>
        <w:t xml:space="preserve"> предприятие </w:t>
      </w:r>
      <w:r w:rsidRPr="00FF05BF">
        <w:rPr>
          <w:sz w:val="24"/>
        </w:rPr>
        <w:lastRenderedPageBreak/>
        <w:t>«</w:t>
      </w:r>
      <w:proofErr w:type="spellStart"/>
      <w:r w:rsidRPr="00FF05BF">
        <w:rPr>
          <w:sz w:val="24"/>
        </w:rPr>
        <w:t>Автодеталь</w:t>
      </w:r>
      <w:proofErr w:type="spellEnd"/>
      <w:r w:rsidRPr="00FF05BF">
        <w:rPr>
          <w:sz w:val="24"/>
        </w:rPr>
        <w:t>» (107%), Белебеевский завод «</w:t>
      </w:r>
      <w:proofErr w:type="spellStart"/>
      <w:r w:rsidRPr="00FF05BF">
        <w:rPr>
          <w:sz w:val="24"/>
        </w:rPr>
        <w:t>Автокомплект</w:t>
      </w:r>
      <w:proofErr w:type="spellEnd"/>
      <w:r w:rsidRPr="00FF05BF">
        <w:rPr>
          <w:sz w:val="24"/>
        </w:rPr>
        <w:t>» (105,8%), ОАО «Белебеевский молочный комбинат» (105,2%), ООО «</w:t>
      </w:r>
      <w:proofErr w:type="spellStart"/>
      <w:r w:rsidRPr="00FF05BF">
        <w:rPr>
          <w:sz w:val="24"/>
        </w:rPr>
        <w:t>БелЗАН</w:t>
      </w:r>
      <w:proofErr w:type="spellEnd"/>
      <w:r w:rsidRPr="00FF05BF">
        <w:rPr>
          <w:sz w:val="24"/>
        </w:rPr>
        <w:t xml:space="preserve"> МК» (104,5%).</w:t>
      </w:r>
    </w:p>
    <w:p w:rsidR="00FF05BF" w:rsidRPr="00FF05BF" w:rsidRDefault="00FF05BF" w:rsidP="00FF05BF">
      <w:pPr>
        <w:pStyle w:val="a4"/>
        <w:ind w:firstLine="540"/>
        <w:jc w:val="both"/>
        <w:rPr>
          <w:sz w:val="24"/>
        </w:rPr>
      </w:pPr>
      <w:r w:rsidRPr="00FF05BF">
        <w:rPr>
          <w:sz w:val="24"/>
        </w:rPr>
        <w:t xml:space="preserve">Численность занятых на крупных и средних предприятиях сферы добычи полезных ископаемых, обрабатывающих производств, производства и распределения электроэнергии газа и воды по итогам 2019 года составила 8 106 человек, что на 1,4% меньше, чем в 2018 году. </w:t>
      </w:r>
    </w:p>
    <w:p w:rsidR="00FF05BF" w:rsidRPr="00FF05BF" w:rsidRDefault="00FF05BF" w:rsidP="00FF05BF">
      <w:pPr>
        <w:pStyle w:val="a4"/>
        <w:ind w:firstLine="540"/>
        <w:jc w:val="both"/>
        <w:rPr>
          <w:color w:val="FF0000"/>
          <w:sz w:val="24"/>
        </w:rPr>
      </w:pPr>
      <w:r w:rsidRPr="00FF05BF">
        <w:rPr>
          <w:sz w:val="24"/>
        </w:rPr>
        <w:t xml:space="preserve">Среднемесячная заработная плата </w:t>
      </w:r>
      <w:proofErr w:type="gramStart"/>
      <w:r w:rsidRPr="00FF05BF">
        <w:rPr>
          <w:sz w:val="24"/>
        </w:rPr>
        <w:t>увеличилась на 8% и составила</w:t>
      </w:r>
      <w:proofErr w:type="gramEnd"/>
      <w:r w:rsidRPr="00FF05BF">
        <w:rPr>
          <w:sz w:val="24"/>
        </w:rPr>
        <w:t xml:space="preserve"> 34120,17 рублей</w:t>
      </w:r>
      <w:r w:rsidRPr="00FF05BF">
        <w:rPr>
          <w:color w:val="FF0000"/>
          <w:sz w:val="24"/>
        </w:rPr>
        <w:t>.</w:t>
      </w:r>
    </w:p>
    <w:p w:rsidR="00FF05BF" w:rsidRPr="00FF05BF" w:rsidRDefault="00FF05BF" w:rsidP="00FF05BF">
      <w:pPr>
        <w:pStyle w:val="a4"/>
        <w:ind w:firstLine="540"/>
        <w:jc w:val="both"/>
        <w:rPr>
          <w:sz w:val="24"/>
        </w:rPr>
      </w:pPr>
      <w:r w:rsidRPr="00FF05BF">
        <w:rPr>
          <w:sz w:val="24"/>
        </w:rPr>
        <w:t xml:space="preserve">По итогам работы предприятий промышленного комплекса в 2019 году получена прибыль в размере 1 118 млн. рублей (за 2018 год – 1 199 млн. рублей). </w:t>
      </w:r>
    </w:p>
    <w:p w:rsidR="00FF05BF" w:rsidRPr="00FF05BF" w:rsidRDefault="00FF05BF" w:rsidP="00FF05BF">
      <w:pPr>
        <w:pStyle w:val="a4"/>
        <w:ind w:firstLine="540"/>
        <w:jc w:val="both"/>
        <w:rPr>
          <w:sz w:val="24"/>
        </w:rPr>
      </w:pPr>
      <w:r w:rsidRPr="00FF05BF">
        <w:rPr>
          <w:sz w:val="24"/>
        </w:rPr>
        <w:t xml:space="preserve">Отличительной особенностью мероприятий 2019 года является направленность на диверсификацию производства, расширение рынков сбыта продукции и минимизацию </w:t>
      </w:r>
      <w:proofErr w:type="spellStart"/>
      <w:r w:rsidRPr="00FF05BF">
        <w:rPr>
          <w:sz w:val="24"/>
        </w:rPr>
        <w:t>монопрофильной</w:t>
      </w:r>
      <w:proofErr w:type="spellEnd"/>
      <w:r w:rsidRPr="00FF05BF">
        <w:rPr>
          <w:sz w:val="24"/>
        </w:rPr>
        <w:t xml:space="preserve"> структуры экономики района. В сфере обрабатывающих производств инвестиции направляются на перевооружение производства, необходимое для повышения загрузки производственных мощностей.</w:t>
      </w:r>
    </w:p>
    <w:p w:rsidR="00FF05BF" w:rsidRPr="00FF05BF" w:rsidRDefault="00FF05BF" w:rsidP="00FF05BF">
      <w:pPr>
        <w:pStyle w:val="a4"/>
        <w:ind w:firstLine="540"/>
        <w:jc w:val="both"/>
        <w:rPr>
          <w:sz w:val="24"/>
        </w:rPr>
      </w:pPr>
      <w:r w:rsidRPr="00FF05BF">
        <w:rPr>
          <w:sz w:val="24"/>
        </w:rPr>
        <w:t xml:space="preserve">Одним из крупнейших производителей промышленной продукции района, по-прежнему, останется </w:t>
      </w:r>
      <w:r w:rsidRPr="00FF05BF">
        <w:rPr>
          <w:b/>
          <w:sz w:val="24"/>
        </w:rPr>
        <w:t>АО «</w:t>
      </w:r>
      <w:proofErr w:type="spellStart"/>
      <w:r w:rsidRPr="00FF05BF">
        <w:rPr>
          <w:b/>
          <w:sz w:val="24"/>
        </w:rPr>
        <w:t>БелЗАН</w:t>
      </w:r>
      <w:proofErr w:type="spellEnd"/>
      <w:r w:rsidRPr="00FF05BF">
        <w:rPr>
          <w:sz w:val="24"/>
        </w:rPr>
        <w:t xml:space="preserve">» - предприятие по производству нормалей и метизов (в основном, для предприятий отечественного </w:t>
      </w:r>
      <w:proofErr w:type="spellStart"/>
      <w:r w:rsidRPr="00FF05BF">
        <w:rPr>
          <w:sz w:val="24"/>
        </w:rPr>
        <w:t>автопрома</w:t>
      </w:r>
      <w:proofErr w:type="spellEnd"/>
      <w:r w:rsidRPr="00FF05BF">
        <w:rPr>
          <w:sz w:val="24"/>
        </w:rPr>
        <w:t>).</w:t>
      </w:r>
    </w:p>
    <w:p w:rsidR="00FF05BF" w:rsidRPr="00FF05BF" w:rsidRDefault="00FF05BF" w:rsidP="00FF05BF">
      <w:pPr>
        <w:pStyle w:val="a4"/>
        <w:ind w:firstLine="540"/>
        <w:jc w:val="both"/>
        <w:rPr>
          <w:sz w:val="24"/>
        </w:rPr>
      </w:pPr>
      <w:r w:rsidRPr="00FF05BF">
        <w:rPr>
          <w:sz w:val="24"/>
        </w:rPr>
        <w:t>Уровень качества производства и выпускаемой предприятием продукции соответствует мировым стандартам. Вся продукция АО «</w:t>
      </w:r>
      <w:proofErr w:type="spellStart"/>
      <w:r w:rsidRPr="00FF05BF">
        <w:rPr>
          <w:sz w:val="24"/>
        </w:rPr>
        <w:t>БелЗАН</w:t>
      </w:r>
      <w:proofErr w:type="spellEnd"/>
      <w:r w:rsidRPr="00FF05BF">
        <w:rPr>
          <w:sz w:val="24"/>
        </w:rPr>
        <w:t>» подтверждена сертификатом соответствия международного автомобильного стандарта ИСО/ТУ 16949:2002.</w:t>
      </w:r>
    </w:p>
    <w:p w:rsidR="00FF05BF" w:rsidRPr="00FF05BF" w:rsidRDefault="00FF05BF" w:rsidP="00FF05BF">
      <w:pPr>
        <w:pStyle w:val="a4"/>
        <w:ind w:firstLine="540"/>
        <w:jc w:val="both"/>
        <w:rPr>
          <w:sz w:val="24"/>
        </w:rPr>
      </w:pPr>
      <w:r w:rsidRPr="00FF05BF">
        <w:rPr>
          <w:sz w:val="24"/>
        </w:rPr>
        <w:t>Деятельность предприятия осуществляется в соответствии с перспективной  стратегией развития АО «</w:t>
      </w:r>
      <w:proofErr w:type="spellStart"/>
      <w:r w:rsidRPr="00FF05BF">
        <w:rPr>
          <w:sz w:val="24"/>
        </w:rPr>
        <w:t>БелЗАН</w:t>
      </w:r>
      <w:proofErr w:type="spellEnd"/>
      <w:r w:rsidRPr="00FF05BF">
        <w:rPr>
          <w:sz w:val="24"/>
        </w:rPr>
        <w:t xml:space="preserve">», которая - в большей степени - ориентирована на реализацию проектов, направленных на диверсификацию производства, снижение издержек, поиск новых потребителей, освоение новой продукции, более перспективных технологий производства. С целью восполнения снижения объемов автомобильного крепежа завод продолжает работу по освоению крепежной продукции неавтомобильного назначения (крепёж для авиа и судостроения, нефтегазодобывающих отраслей и других). </w:t>
      </w:r>
    </w:p>
    <w:p w:rsidR="00FF05BF" w:rsidRPr="00FF05BF" w:rsidRDefault="00FF05BF" w:rsidP="00FF05BF">
      <w:pPr>
        <w:pStyle w:val="a4"/>
        <w:ind w:firstLine="540"/>
        <w:jc w:val="both"/>
        <w:rPr>
          <w:sz w:val="24"/>
        </w:rPr>
      </w:pPr>
      <w:r w:rsidRPr="00FF05BF">
        <w:rPr>
          <w:sz w:val="24"/>
        </w:rPr>
        <w:t xml:space="preserve">В 2019 году предприятием отгружено продукции на сумму 3 млрд. 771 млн. рублей, на 2,6% меньше, чем в 2018 году. </w:t>
      </w:r>
    </w:p>
    <w:p w:rsidR="00FF05BF" w:rsidRPr="00FF05BF" w:rsidRDefault="00FF05BF" w:rsidP="00FF05BF">
      <w:pPr>
        <w:pStyle w:val="a4"/>
        <w:ind w:firstLine="540"/>
        <w:jc w:val="both"/>
        <w:rPr>
          <w:sz w:val="24"/>
        </w:rPr>
      </w:pPr>
      <w:r w:rsidRPr="00FF05BF">
        <w:rPr>
          <w:sz w:val="24"/>
        </w:rPr>
        <w:t xml:space="preserve">В настоящее время на предприятии функционирует ряд </w:t>
      </w:r>
      <w:proofErr w:type="gramStart"/>
      <w:r w:rsidRPr="00FF05BF">
        <w:rPr>
          <w:sz w:val="24"/>
        </w:rPr>
        <w:t>выделенных</w:t>
      </w:r>
      <w:proofErr w:type="gramEnd"/>
      <w:r w:rsidRPr="00FF05BF">
        <w:rPr>
          <w:sz w:val="24"/>
        </w:rPr>
        <w:t xml:space="preserve"> в 2013-2015г.г. из основного состава </w:t>
      </w:r>
      <w:proofErr w:type="spellStart"/>
      <w:r w:rsidRPr="00FF05BF">
        <w:rPr>
          <w:sz w:val="24"/>
        </w:rPr>
        <w:t>бизнес-единиц</w:t>
      </w:r>
      <w:proofErr w:type="spellEnd"/>
      <w:r w:rsidRPr="00FF05BF">
        <w:rPr>
          <w:sz w:val="24"/>
        </w:rPr>
        <w:t>: ООО «</w:t>
      </w:r>
      <w:proofErr w:type="spellStart"/>
      <w:r w:rsidRPr="00FF05BF">
        <w:rPr>
          <w:sz w:val="24"/>
        </w:rPr>
        <w:t>БелЗАН</w:t>
      </w:r>
      <w:proofErr w:type="spellEnd"/>
      <w:r w:rsidRPr="00FF05BF">
        <w:rPr>
          <w:sz w:val="24"/>
        </w:rPr>
        <w:t xml:space="preserve"> МЕТ», ООО «</w:t>
      </w:r>
      <w:proofErr w:type="spellStart"/>
      <w:r w:rsidRPr="00FF05BF">
        <w:rPr>
          <w:sz w:val="24"/>
        </w:rPr>
        <w:t>БелЗАН</w:t>
      </w:r>
      <w:proofErr w:type="spellEnd"/>
      <w:r w:rsidRPr="00FF05BF">
        <w:rPr>
          <w:sz w:val="24"/>
        </w:rPr>
        <w:t xml:space="preserve"> МК», ООО «</w:t>
      </w:r>
      <w:proofErr w:type="spellStart"/>
      <w:r w:rsidRPr="00FF05BF">
        <w:rPr>
          <w:sz w:val="24"/>
        </w:rPr>
        <w:t>БелЗАН</w:t>
      </w:r>
      <w:proofErr w:type="spellEnd"/>
      <w:r w:rsidRPr="00FF05BF">
        <w:rPr>
          <w:sz w:val="24"/>
        </w:rPr>
        <w:t xml:space="preserve"> Сервис», ЗАО «</w:t>
      </w:r>
      <w:proofErr w:type="spellStart"/>
      <w:r w:rsidRPr="00FF05BF">
        <w:rPr>
          <w:sz w:val="24"/>
        </w:rPr>
        <w:t>Белспринг</w:t>
      </w:r>
      <w:proofErr w:type="spellEnd"/>
      <w:r w:rsidRPr="00FF05BF">
        <w:rPr>
          <w:sz w:val="24"/>
        </w:rPr>
        <w:t>» которые специализируются на изготовлении аналогичной продукции, оказании услуг по калибровке металлопроката, ремонту и обслуживанию оборудования для собственных нужд и сторонних организаций.</w:t>
      </w:r>
    </w:p>
    <w:p w:rsidR="00FF05BF" w:rsidRPr="00FF05BF" w:rsidRDefault="00FF05BF" w:rsidP="00FF05BF">
      <w:pPr>
        <w:pStyle w:val="a4"/>
        <w:ind w:firstLine="540"/>
        <w:jc w:val="both"/>
        <w:rPr>
          <w:sz w:val="24"/>
        </w:rPr>
      </w:pPr>
      <w:r w:rsidRPr="00FF05BF">
        <w:rPr>
          <w:sz w:val="24"/>
        </w:rPr>
        <w:t xml:space="preserve">В 2020 году ожидается снижение объемов производства продукции на 9,9%, планируется произвести продукции на 3398,6 млн. рублей. Снижение объемов производства ожидается в связи с сокращением производства автопромышленности и снижением платежеспособности населения, вызванных ограничениями на фоне ситуации с пандемией </w:t>
      </w:r>
      <w:proofErr w:type="spellStart"/>
      <w:r w:rsidRPr="00FF05BF">
        <w:rPr>
          <w:sz w:val="24"/>
        </w:rPr>
        <w:t>коронавируса</w:t>
      </w:r>
      <w:proofErr w:type="spellEnd"/>
      <w:r w:rsidRPr="00FF05BF">
        <w:rPr>
          <w:sz w:val="24"/>
        </w:rPr>
        <w:t xml:space="preserve"> </w:t>
      </w:r>
      <w:r w:rsidRPr="00FF05BF">
        <w:rPr>
          <w:sz w:val="24"/>
          <w:lang w:val="en-US"/>
        </w:rPr>
        <w:t>COVID</w:t>
      </w:r>
      <w:r w:rsidRPr="00FF05BF">
        <w:rPr>
          <w:sz w:val="24"/>
        </w:rPr>
        <w:t>-2019.</w:t>
      </w:r>
    </w:p>
    <w:p w:rsidR="00FF05BF" w:rsidRPr="00FF05BF" w:rsidRDefault="00FF05BF" w:rsidP="00FF05BF">
      <w:pPr>
        <w:pStyle w:val="a4"/>
        <w:ind w:firstLine="540"/>
        <w:jc w:val="both"/>
        <w:rPr>
          <w:sz w:val="24"/>
        </w:rPr>
      </w:pPr>
      <w:r w:rsidRPr="00FF05BF">
        <w:rPr>
          <w:sz w:val="24"/>
        </w:rPr>
        <w:t>В целях дальнейшего сохранения стабильного финансово-экономического положения предприятия проводятся следующие мероприятия:</w:t>
      </w:r>
    </w:p>
    <w:p w:rsidR="00FF05BF" w:rsidRPr="00FF05BF" w:rsidRDefault="00FF05BF" w:rsidP="00FF05BF">
      <w:pPr>
        <w:pStyle w:val="a4"/>
        <w:ind w:firstLine="540"/>
        <w:jc w:val="both"/>
        <w:rPr>
          <w:sz w:val="24"/>
        </w:rPr>
      </w:pPr>
      <w:r w:rsidRPr="00FF05BF">
        <w:rPr>
          <w:sz w:val="24"/>
        </w:rPr>
        <w:tab/>
        <w:t>- производство крепежа для авиа и судостроения, в частности, авиа крепёжа из нержавеющей стали и титановых сплавов;</w:t>
      </w:r>
    </w:p>
    <w:p w:rsidR="00FF05BF" w:rsidRPr="00FF05BF" w:rsidRDefault="00FF05BF" w:rsidP="00FF05BF">
      <w:pPr>
        <w:pStyle w:val="a4"/>
        <w:ind w:firstLine="540"/>
        <w:jc w:val="both"/>
        <w:rPr>
          <w:sz w:val="24"/>
        </w:rPr>
      </w:pPr>
      <w:r w:rsidRPr="00FF05BF">
        <w:rPr>
          <w:sz w:val="24"/>
        </w:rPr>
        <w:tab/>
        <w:t>- расширение географии поставок ресурсного крепежа за счёт новых потребителей;</w:t>
      </w:r>
    </w:p>
    <w:p w:rsidR="00FF05BF" w:rsidRPr="00FF05BF" w:rsidRDefault="00FF05BF" w:rsidP="00FF05BF">
      <w:pPr>
        <w:pStyle w:val="a4"/>
        <w:ind w:firstLine="540"/>
        <w:jc w:val="both"/>
        <w:rPr>
          <w:sz w:val="24"/>
        </w:rPr>
      </w:pPr>
      <w:r w:rsidRPr="00FF05BF">
        <w:rPr>
          <w:sz w:val="24"/>
        </w:rPr>
        <w:tab/>
        <w:t xml:space="preserve">- реализация проектов, направленных на оптимизацию производственного процесса, модернизацию существующего производства с целью повышения качества готовой продукции, снижения энергоёмкости продукции и повышение её рентабельности. </w:t>
      </w:r>
    </w:p>
    <w:p w:rsidR="00FF05BF" w:rsidRPr="00FF05BF" w:rsidRDefault="00FF05BF" w:rsidP="00FF05BF">
      <w:pPr>
        <w:pStyle w:val="a4"/>
        <w:ind w:firstLine="540"/>
        <w:jc w:val="both"/>
        <w:rPr>
          <w:sz w:val="24"/>
        </w:rPr>
      </w:pPr>
      <w:r w:rsidRPr="00FF05BF">
        <w:rPr>
          <w:sz w:val="24"/>
        </w:rPr>
        <w:t>АО «</w:t>
      </w:r>
      <w:proofErr w:type="spellStart"/>
      <w:r w:rsidRPr="00FF05BF">
        <w:rPr>
          <w:sz w:val="24"/>
        </w:rPr>
        <w:t>БелЗАН</w:t>
      </w:r>
      <w:proofErr w:type="spellEnd"/>
      <w:r w:rsidRPr="00FF05BF">
        <w:rPr>
          <w:sz w:val="24"/>
        </w:rPr>
        <w:t xml:space="preserve">» на постоянной основе проводятся переговоры с представителями компаний, занимающихся сборкой иностранных автомобилей на территории Российской Федерации, в перспективе планируется производство крепежа для горно-обогатительных комбинатов. </w:t>
      </w:r>
    </w:p>
    <w:p w:rsidR="00FF05BF" w:rsidRPr="00FF05BF" w:rsidRDefault="00FF05BF" w:rsidP="00FF05BF">
      <w:pPr>
        <w:pStyle w:val="a4"/>
        <w:ind w:firstLine="540"/>
        <w:jc w:val="both"/>
        <w:rPr>
          <w:sz w:val="24"/>
        </w:rPr>
      </w:pPr>
      <w:r w:rsidRPr="00FF05BF">
        <w:rPr>
          <w:sz w:val="24"/>
        </w:rPr>
        <w:t>Приоритетом деятельности завода было и остается специализация на производстве автомобильного крепежа.</w:t>
      </w:r>
    </w:p>
    <w:p w:rsidR="00FF05BF" w:rsidRPr="00FF05BF" w:rsidRDefault="00FF05BF" w:rsidP="00FF05BF">
      <w:pPr>
        <w:spacing w:after="0" w:line="240" w:lineRule="auto"/>
        <w:ind w:firstLine="708"/>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lastRenderedPageBreak/>
        <w:t>В 1 полугодии 2021г. планируется объединение дочерних компаний с АО «</w:t>
      </w:r>
      <w:proofErr w:type="spellStart"/>
      <w:r w:rsidRPr="00FF05BF">
        <w:rPr>
          <w:rFonts w:ascii="Times New Roman" w:eastAsia="Times New Roman" w:hAnsi="Times New Roman" w:cs="Times New Roman"/>
          <w:sz w:val="24"/>
          <w:szCs w:val="24"/>
        </w:rPr>
        <w:t>БелЗАН</w:t>
      </w:r>
      <w:proofErr w:type="spellEnd"/>
      <w:r w:rsidRPr="00FF05BF">
        <w:rPr>
          <w:rFonts w:ascii="Times New Roman" w:eastAsia="Times New Roman" w:hAnsi="Times New Roman" w:cs="Times New Roman"/>
          <w:sz w:val="24"/>
          <w:szCs w:val="24"/>
        </w:rPr>
        <w:t>», с учетом основных направлений, предусмотренных в Стратегии развития АО «</w:t>
      </w:r>
      <w:proofErr w:type="spellStart"/>
      <w:r w:rsidRPr="00FF05BF">
        <w:rPr>
          <w:rFonts w:ascii="Times New Roman" w:eastAsia="Times New Roman" w:hAnsi="Times New Roman" w:cs="Times New Roman"/>
          <w:sz w:val="24"/>
          <w:szCs w:val="24"/>
        </w:rPr>
        <w:t>БелЗАН</w:t>
      </w:r>
      <w:proofErr w:type="spellEnd"/>
      <w:r w:rsidRPr="00FF05BF">
        <w:rPr>
          <w:rFonts w:ascii="Times New Roman" w:eastAsia="Times New Roman" w:hAnsi="Times New Roman" w:cs="Times New Roman"/>
          <w:sz w:val="24"/>
          <w:szCs w:val="24"/>
        </w:rPr>
        <w:t>», которые предполагают:</w:t>
      </w:r>
    </w:p>
    <w:p w:rsidR="00FF05BF" w:rsidRPr="00FF05BF" w:rsidRDefault="00FF05BF" w:rsidP="00FF05BF">
      <w:pPr>
        <w:spacing w:after="0" w:line="240" w:lineRule="auto"/>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ab/>
        <w:t>- финансовые вложения, направленные на модернизацию и обновление, замену производственных мощностей и их наращивание за счет приобретения современного высокотехнологичного производительного оборудования для высадочных цехов, пружинного, калибровочного, гальванического и инструментального производств;</w:t>
      </w:r>
    </w:p>
    <w:p w:rsidR="00FF05BF" w:rsidRPr="00FF05BF" w:rsidRDefault="00FF05BF" w:rsidP="00FF05BF">
      <w:pPr>
        <w:spacing w:after="0" w:line="240" w:lineRule="auto"/>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ab/>
        <w:t>- снижение издержек, направленное на повышение эффективности деятельности предприятия, которое планомерно осуществляется в рамках управления производства по всей цепочке технологического цикла от входящего сырья до выхода готовой продукции и всего учета затрат;</w:t>
      </w:r>
    </w:p>
    <w:p w:rsidR="00FF05BF" w:rsidRPr="00FF05BF" w:rsidRDefault="00FF05BF" w:rsidP="00FF05BF">
      <w:pPr>
        <w:spacing w:after="0" w:line="240" w:lineRule="auto"/>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ab/>
        <w:t>Таким образом, реализация данных мероприятий позволит увеличить конкурентоспособность на рынке, обеспечить стабильную занятость производственного персонала АО «</w:t>
      </w:r>
      <w:proofErr w:type="spellStart"/>
      <w:r w:rsidRPr="00FF05BF">
        <w:rPr>
          <w:rFonts w:ascii="Times New Roman" w:eastAsia="Times New Roman" w:hAnsi="Times New Roman" w:cs="Times New Roman"/>
          <w:sz w:val="24"/>
          <w:szCs w:val="24"/>
        </w:rPr>
        <w:t>БелЗАН</w:t>
      </w:r>
      <w:proofErr w:type="spellEnd"/>
      <w:r w:rsidRPr="00FF05BF">
        <w:rPr>
          <w:rFonts w:ascii="Times New Roman" w:eastAsia="Times New Roman" w:hAnsi="Times New Roman" w:cs="Times New Roman"/>
          <w:sz w:val="24"/>
          <w:szCs w:val="24"/>
        </w:rPr>
        <w:t>».</w:t>
      </w:r>
    </w:p>
    <w:p w:rsidR="00FF05BF" w:rsidRPr="00FF05BF" w:rsidRDefault="00FF05BF" w:rsidP="00FF05BF">
      <w:pPr>
        <w:snapToGrid w:val="0"/>
        <w:spacing w:after="0" w:line="240" w:lineRule="auto"/>
        <w:ind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b/>
          <w:sz w:val="24"/>
          <w:szCs w:val="24"/>
        </w:rPr>
        <w:t>ООО «Белебеевский завод «</w:t>
      </w:r>
      <w:proofErr w:type="spellStart"/>
      <w:r w:rsidRPr="00FF05BF">
        <w:rPr>
          <w:rFonts w:ascii="Times New Roman" w:eastAsia="Times New Roman" w:hAnsi="Times New Roman" w:cs="Times New Roman"/>
          <w:b/>
          <w:sz w:val="24"/>
          <w:szCs w:val="24"/>
        </w:rPr>
        <w:t>Автокомплект</w:t>
      </w:r>
      <w:proofErr w:type="spellEnd"/>
      <w:r w:rsidRPr="00FF05BF">
        <w:rPr>
          <w:rFonts w:ascii="Times New Roman" w:eastAsia="Times New Roman" w:hAnsi="Times New Roman" w:cs="Times New Roman"/>
          <w:b/>
          <w:sz w:val="24"/>
          <w:szCs w:val="24"/>
        </w:rPr>
        <w:t xml:space="preserve">» - </w:t>
      </w:r>
      <w:r w:rsidRPr="00FF05BF">
        <w:rPr>
          <w:rFonts w:ascii="Times New Roman" w:eastAsia="Times New Roman" w:hAnsi="Times New Roman" w:cs="Times New Roman"/>
          <w:sz w:val="24"/>
          <w:szCs w:val="24"/>
        </w:rPr>
        <w:t>предприятие является официальным поставщиком шаровых опор и рулевых наконечников для передней подвески ОАО «АвтоВАЗ», ЗАО «</w:t>
      </w:r>
      <w:proofErr w:type="spellStart"/>
      <w:r w:rsidRPr="00FF05BF">
        <w:rPr>
          <w:rFonts w:ascii="Times New Roman" w:eastAsia="Times New Roman" w:hAnsi="Times New Roman" w:cs="Times New Roman"/>
          <w:sz w:val="24"/>
          <w:szCs w:val="24"/>
        </w:rPr>
        <w:t>Джи-ЭМ</w:t>
      </w:r>
      <w:proofErr w:type="spellEnd"/>
      <w:r w:rsidRPr="00FF05BF">
        <w:rPr>
          <w:rFonts w:ascii="Times New Roman" w:eastAsia="Times New Roman" w:hAnsi="Times New Roman" w:cs="Times New Roman"/>
          <w:sz w:val="24"/>
          <w:szCs w:val="24"/>
        </w:rPr>
        <w:t xml:space="preserve"> АвтоВАЗ», ООО «</w:t>
      </w:r>
      <w:proofErr w:type="spellStart"/>
      <w:r w:rsidRPr="00FF05BF">
        <w:rPr>
          <w:rFonts w:ascii="Times New Roman" w:eastAsia="Times New Roman" w:hAnsi="Times New Roman" w:cs="Times New Roman"/>
          <w:sz w:val="24"/>
          <w:szCs w:val="24"/>
        </w:rPr>
        <w:t>УАЗ-Автокомпоненты</w:t>
      </w:r>
      <w:proofErr w:type="spellEnd"/>
      <w:r w:rsidRPr="00FF05BF">
        <w:rPr>
          <w:rFonts w:ascii="Times New Roman" w:eastAsia="Times New Roman" w:hAnsi="Times New Roman" w:cs="Times New Roman"/>
          <w:sz w:val="24"/>
          <w:szCs w:val="24"/>
        </w:rPr>
        <w:t>». На вторичный рынок продукция реализуется крупным оптом. В 2020 году прогнозируется снижение объемов производства и отгрузки  продукции в среднем</w:t>
      </w:r>
      <w:r w:rsidRPr="00FF05BF">
        <w:rPr>
          <w:rFonts w:ascii="Times New Roman" w:eastAsia="Times New Roman" w:hAnsi="Times New Roman" w:cs="Times New Roman"/>
          <w:color w:val="FF0000"/>
          <w:sz w:val="24"/>
          <w:szCs w:val="24"/>
        </w:rPr>
        <w:t xml:space="preserve"> </w:t>
      </w:r>
      <w:r w:rsidRPr="00FF05BF">
        <w:rPr>
          <w:rFonts w:ascii="Times New Roman" w:eastAsia="Times New Roman" w:hAnsi="Times New Roman" w:cs="Times New Roman"/>
          <w:sz w:val="24"/>
          <w:szCs w:val="24"/>
        </w:rPr>
        <w:t>на 11% в объёме 85,5 млн. рублей.</w:t>
      </w:r>
      <w:r w:rsidRPr="00FF05BF">
        <w:rPr>
          <w:rFonts w:ascii="Times New Roman" w:eastAsia="Times New Roman" w:hAnsi="Times New Roman" w:cs="Times New Roman"/>
          <w:color w:val="FF0000"/>
          <w:sz w:val="24"/>
          <w:szCs w:val="24"/>
        </w:rPr>
        <w:t xml:space="preserve"> </w:t>
      </w:r>
      <w:r w:rsidRPr="00FF05BF">
        <w:rPr>
          <w:rFonts w:ascii="Times New Roman" w:eastAsia="Times New Roman" w:hAnsi="Times New Roman" w:cs="Times New Roman"/>
          <w:sz w:val="24"/>
          <w:szCs w:val="24"/>
        </w:rPr>
        <w:t xml:space="preserve">Ведется освоение продукции на новые модели автосборочных предприятий, в том числе иностранных компаний, расположенных на территории Российской Федерации. </w:t>
      </w:r>
    </w:p>
    <w:p w:rsidR="00FF05BF" w:rsidRPr="00FF05BF" w:rsidRDefault="00FF05BF" w:rsidP="00FF05BF">
      <w:pPr>
        <w:pStyle w:val="a4"/>
        <w:ind w:firstLine="540"/>
        <w:jc w:val="both"/>
        <w:rPr>
          <w:sz w:val="24"/>
        </w:rPr>
      </w:pPr>
      <w:r w:rsidRPr="00FF05BF">
        <w:rPr>
          <w:sz w:val="24"/>
        </w:rPr>
        <w:t xml:space="preserve">Заводом осуществляется экспорт продукции, в основном, в страны СНГ (Украина, Казахстан, Армения, Азербайджан). Динамика развития предприятия определяется сезонностью по отгрузке (в зимние месяцы происходит снижение спроса на запасные части). </w:t>
      </w:r>
    </w:p>
    <w:p w:rsidR="00FF05BF" w:rsidRPr="00FF05BF" w:rsidRDefault="00FF05BF" w:rsidP="00FF05BF">
      <w:pPr>
        <w:pStyle w:val="a4"/>
        <w:ind w:firstLine="540"/>
        <w:jc w:val="both"/>
        <w:rPr>
          <w:sz w:val="24"/>
        </w:rPr>
      </w:pPr>
      <w:r w:rsidRPr="00FF05BF">
        <w:rPr>
          <w:b/>
          <w:sz w:val="24"/>
        </w:rPr>
        <w:t>ООО «</w:t>
      </w:r>
      <w:proofErr w:type="spellStart"/>
      <w:r w:rsidRPr="00FF05BF">
        <w:rPr>
          <w:b/>
          <w:sz w:val="24"/>
        </w:rPr>
        <w:t>Белебеевское</w:t>
      </w:r>
      <w:proofErr w:type="spellEnd"/>
      <w:r w:rsidRPr="00FF05BF">
        <w:rPr>
          <w:b/>
          <w:sz w:val="24"/>
        </w:rPr>
        <w:t xml:space="preserve"> предприятие «</w:t>
      </w:r>
      <w:proofErr w:type="spellStart"/>
      <w:r w:rsidRPr="00FF05BF">
        <w:rPr>
          <w:b/>
          <w:sz w:val="24"/>
        </w:rPr>
        <w:t>Автодеталь</w:t>
      </w:r>
      <w:proofErr w:type="spellEnd"/>
      <w:r w:rsidRPr="00FF05BF">
        <w:rPr>
          <w:b/>
          <w:sz w:val="24"/>
        </w:rPr>
        <w:t>»</w:t>
      </w:r>
      <w:r w:rsidRPr="00FF05BF">
        <w:rPr>
          <w:sz w:val="24"/>
        </w:rPr>
        <w:t xml:space="preserve"> также является поставщиком продукции на ОАО «АвтоВАЗ», ЗАО «ДЖИ ЭМ АвтоВАЗ» и в Объединенную Автомобильную группу.   </w:t>
      </w:r>
    </w:p>
    <w:p w:rsidR="00FF05BF" w:rsidRPr="00FF05BF" w:rsidRDefault="00FF05BF" w:rsidP="00FF05BF">
      <w:pPr>
        <w:pStyle w:val="a4"/>
        <w:ind w:firstLine="540"/>
        <w:jc w:val="both"/>
        <w:rPr>
          <w:sz w:val="24"/>
        </w:rPr>
      </w:pPr>
      <w:r w:rsidRPr="00FF05BF">
        <w:rPr>
          <w:sz w:val="24"/>
        </w:rPr>
        <w:t xml:space="preserve">В связи со значительным снижением спроса на продукцию, ориентированную на автомобилестроение, предприятием проводится целенаправленная работа по освоению новых видов продукции – изделий из проволоки, перечень которых </w:t>
      </w:r>
      <w:proofErr w:type="gramStart"/>
      <w:r w:rsidRPr="00FF05BF">
        <w:rPr>
          <w:sz w:val="24"/>
        </w:rPr>
        <w:t>имеет до 1000 наименований и постоянно пополняется</w:t>
      </w:r>
      <w:proofErr w:type="gramEnd"/>
      <w:r w:rsidRPr="00FF05BF">
        <w:rPr>
          <w:sz w:val="24"/>
        </w:rPr>
        <w:t xml:space="preserve"> (по мере поступления новых заказов). Доля этой продукции в настоящее время составляет порядка 45 % от общего объема производства. Потребителями данной продукции являются предприятия по производству теплиц, продукции для птицеводческих фермерских хозяйств, по заготовке пушного зверя, по производству вентиляторов и тепловых пушек, бытовой продукции, производству подвесов волоконно-оптических линий связи, торговых и прочих предприятий.</w:t>
      </w:r>
    </w:p>
    <w:p w:rsidR="00FF05BF" w:rsidRPr="00FF05BF" w:rsidRDefault="00FF05BF" w:rsidP="00FF05BF">
      <w:pPr>
        <w:pStyle w:val="a4"/>
        <w:ind w:firstLine="540"/>
        <w:jc w:val="both"/>
        <w:rPr>
          <w:sz w:val="24"/>
        </w:rPr>
      </w:pPr>
      <w:r w:rsidRPr="00FF05BF">
        <w:rPr>
          <w:sz w:val="24"/>
        </w:rPr>
        <w:t>В ООО «</w:t>
      </w:r>
      <w:proofErr w:type="spellStart"/>
      <w:r w:rsidRPr="00FF05BF">
        <w:rPr>
          <w:sz w:val="24"/>
        </w:rPr>
        <w:t>БелАвтодеталь</w:t>
      </w:r>
      <w:proofErr w:type="spellEnd"/>
      <w:r w:rsidRPr="00FF05BF">
        <w:rPr>
          <w:sz w:val="24"/>
        </w:rPr>
        <w:t xml:space="preserve">» используется труд инвалидов по зрению (порядка 50% промышленно-производственного персонала). </w:t>
      </w:r>
    </w:p>
    <w:p w:rsidR="00FF05BF" w:rsidRPr="00FF05BF" w:rsidRDefault="00FF05BF" w:rsidP="00FF05BF">
      <w:pPr>
        <w:pStyle w:val="a4"/>
        <w:ind w:firstLine="540"/>
        <w:jc w:val="both"/>
        <w:rPr>
          <w:sz w:val="24"/>
        </w:rPr>
      </w:pPr>
      <w:r w:rsidRPr="00FF05BF">
        <w:rPr>
          <w:sz w:val="24"/>
        </w:rPr>
        <w:t xml:space="preserve">В целях продвижения на рынке своей продукции, предприятие активно участвует во всероссийских и республиканских выставках. </w:t>
      </w:r>
    </w:p>
    <w:p w:rsidR="00FF05BF" w:rsidRPr="00FF05BF" w:rsidRDefault="00FF05BF" w:rsidP="00FF05BF">
      <w:pPr>
        <w:pStyle w:val="a4"/>
        <w:ind w:firstLine="540"/>
        <w:jc w:val="both"/>
        <w:rPr>
          <w:sz w:val="24"/>
        </w:rPr>
      </w:pPr>
      <w:r w:rsidRPr="00FF05BF">
        <w:rPr>
          <w:sz w:val="24"/>
        </w:rPr>
        <w:t xml:space="preserve">Но учитывая сложившуюся ситуацию, связанную с пандемией </w:t>
      </w:r>
      <w:proofErr w:type="spellStart"/>
      <w:r w:rsidRPr="00FF05BF">
        <w:rPr>
          <w:sz w:val="24"/>
        </w:rPr>
        <w:t>коронавируса</w:t>
      </w:r>
      <w:proofErr w:type="spellEnd"/>
      <w:r w:rsidRPr="00FF05BF">
        <w:rPr>
          <w:sz w:val="24"/>
        </w:rPr>
        <w:t xml:space="preserve"> </w:t>
      </w:r>
      <w:r w:rsidRPr="00FF05BF">
        <w:rPr>
          <w:sz w:val="24"/>
          <w:lang w:val="en-US"/>
        </w:rPr>
        <w:t>COVID</w:t>
      </w:r>
      <w:r w:rsidRPr="00FF05BF">
        <w:rPr>
          <w:sz w:val="24"/>
        </w:rPr>
        <w:t>-2019 в целях сохранения кадрового потенциала предприятие вынуждено работать по сокращенному режиму работы, вследствие чего в  2020 году прогнозируется снижение  объемов производства и отгрузки  продукции в среднем</w:t>
      </w:r>
      <w:r w:rsidRPr="00FF05BF">
        <w:rPr>
          <w:color w:val="FF0000"/>
          <w:sz w:val="24"/>
        </w:rPr>
        <w:t xml:space="preserve"> </w:t>
      </w:r>
      <w:r w:rsidRPr="00FF05BF">
        <w:rPr>
          <w:sz w:val="24"/>
        </w:rPr>
        <w:t>на 18% в объёме 94,3 млн. рублей.</w:t>
      </w:r>
    </w:p>
    <w:p w:rsidR="00FF05BF" w:rsidRPr="00FF05BF" w:rsidRDefault="00FF05BF" w:rsidP="00FF05BF">
      <w:pPr>
        <w:pStyle w:val="a4"/>
        <w:ind w:firstLine="540"/>
        <w:jc w:val="both"/>
        <w:rPr>
          <w:color w:val="FF0000"/>
          <w:sz w:val="24"/>
        </w:rPr>
      </w:pPr>
    </w:p>
    <w:p w:rsidR="00FF05BF" w:rsidRPr="00FF05BF" w:rsidRDefault="00FF05BF" w:rsidP="00FF05BF">
      <w:pPr>
        <w:pStyle w:val="a4"/>
        <w:ind w:firstLine="540"/>
        <w:jc w:val="both"/>
        <w:rPr>
          <w:sz w:val="24"/>
        </w:rPr>
      </w:pPr>
      <w:r w:rsidRPr="00FF05BF">
        <w:rPr>
          <w:sz w:val="24"/>
        </w:rPr>
        <w:t xml:space="preserve">На долю предприятий по </w:t>
      </w:r>
      <w:r w:rsidRPr="00FF05BF">
        <w:rPr>
          <w:b/>
          <w:sz w:val="24"/>
        </w:rPr>
        <w:t>производству пищевых продуктов</w:t>
      </w:r>
      <w:r w:rsidRPr="00FF05BF">
        <w:rPr>
          <w:sz w:val="24"/>
        </w:rPr>
        <w:t xml:space="preserve"> муниципального района в 2019 году пришлось 31% объема промышленного производства.</w:t>
      </w:r>
    </w:p>
    <w:p w:rsidR="00FF05BF" w:rsidRPr="00FF05BF" w:rsidRDefault="00FF05BF" w:rsidP="00FF05BF">
      <w:pPr>
        <w:pStyle w:val="a4"/>
        <w:ind w:firstLine="540"/>
        <w:jc w:val="both"/>
        <w:rPr>
          <w:sz w:val="24"/>
        </w:rPr>
      </w:pPr>
      <w:r w:rsidRPr="00FF05BF">
        <w:rPr>
          <w:sz w:val="24"/>
        </w:rPr>
        <w:t xml:space="preserve">Предприятиями пищевой промышленности отгружено продукции на 6 823,4 млн. рублей, что превышает показатель прошлого года на 0,5%. </w:t>
      </w:r>
    </w:p>
    <w:p w:rsidR="00FF05BF" w:rsidRPr="00FF05BF" w:rsidRDefault="00FF05BF" w:rsidP="00FF05BF">
      <w:pPr>
        <w:pStyle w:val="a4"/>
        <w:ind w:firstLine="540"/>
        <w:jc w:val="both"/>
        <w:rPr>
          <w:sz w:val="24"/>
        </w:rPr>
      </w:pPr>
      <w:r w:rsidRPr="00FF05BF">
        <w:rPr>
          <w:sz w:val="24"/>
        </w:rPr>
        <w:t xml:space="preserve">Отгрузка молочной продукции в сумме 6 млрд. 186 млн. руб. дает 90% объема выпуска пищевой промышленности. </w:t>
      </w:r>
    </w:p>
    <w:p w:rsidR="00FF05BF" w:rsidRPr="00FF05BF" w:rsidRDefault="00FF05BF" w:rsidP="00FF05BF">
      <w:pPr>
        <w:pStyle w:val="a4"/>
        <w:tabs>
          <w:tab w:val="left" w:pos="4860"/>
        </w:tabs>
        <w:ind w:firstLine="540"/>
        <w:jc w:val="both"/>
        <w:rPr>
          <w:sz w:val="24"/>
        </w:rPr>
      </w:pPr>
      <w:r w:rsidRPr="00FF05BF">
        <w:rPr>
          <w:sz w:val="24"/>
        </w:rPr>
        <w:lastRenderedPageBreak/>
        <w:t xml:space="preserve">Стратегической целью </w:t>
      </w:r>
      <w:r w:rsidRPr="00FF05BF">
        <w:rPr>
          <w:b/>
          <w:sz w:val="24"/>
        </w:rPr>
        <w:t>АО «Белебеевский молочный комбинат»</w:t>
      </w:r>
      <w:r w:rsidRPr="00FF05BF">
        <w:rPr>
          <w:sz w:val="24"/>
        </w:rPr>
        <w:t xml:space="preserve"> на прогнозный период является закрепление на рынке России лидирующей позиции по производству твердых сычужных сыров и получение прибыли, достаточной для перспективного развития предприятия.</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 xml:space="preserve">В настоящее время на комбинате производится более 50 наименований продукции. Ассортиментная линейка продукции, вырабатываемой на комбинате, состоит из 4 ассортиментных групп. Это масло животное и </w:t>
      </w:r>
      <w:proofErr w:type="spellStart"/>
      <w:r w:rsidRPr="00FF05BF">
        <w:rPr>
          <w:rFonts w:ascii="Times New Roman" w:eastAsia="Times New Roman" w:hAnsi="Times New Roman" w:cs="Times New Roman"/>
          <w:sz w:val="24"/>
          <w:szCs w:val="24"/>
        </w:rPr>
        <w:t>спреды</w:t>
      </w:r>
      <w:proofErr w:type="spellEnd"/>
      <w:r w:rsidRPr="00FF05BF">
        <w:rPr>
          <w:rFonts w:ascii="Times New Roman" w:eastAsia="Times New Roman" w:hAnsi="Times New Roman" w:cs="Times New Roman"/>
          <w:sz w:val="24"/>
          <w:szCs w:val="24"/>
        </w:rPr>
        <w:t>, сыры сычужные, цельномолочная и нежирная продукция, сухие молочные продукты. Приоритетным  направлением производственной деятельности комбината (более 75 % от объема выпускаемой продукции) было и остается – изготовление твердых сычужных сыров. Ассортимент сыров состоит из 20 наименований. Оборудование, установленное в сыродельном цехе, позволяет вырабатывать сыры брусковые и круглые. Производство сыров твердых, начиная с 2001 года, постоянно наращивается. Увеличение объемов производства сыров положительно отражается на производстве сухих молочных продуктов.</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В 2013 году был введен в эксплуатацию цех нарезки и фасовки сыров, теперь в торговые сети поступает сыр с логотипом комбината, что делает его узнаваемым. К тому фасовка на комбинате увеличивает сроки хранения продукции в торговой сети. В 2019 году расфасовано 10 051 тонн сыров, что составляет 71,4 % от общего объема вырабатываемых сыров. В 2024 году планируется довести расфасовку до 12 900 тонн, что составит 63,4 % от общего объема вырабатываемых сыров.</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 xml:space="preserve">Масло животное, производимое на комбинате, традиционно отличается </w:t>
      </w:r>
      <w:proofErr w:type="gramStart"/>
      <w:r w:rsidRPr="00FF05BF">
        <w:rPr>
          <w:rFonts w:ascii="Times New Roman" w:eastAsia="Times New Roman" w:hAnsi="Times New Roman" w:cs="Times New Roman"/>
          <w:sz w:val="24"/>
          <w:szCs w:val="24"/>
        </w:rPr>
        <w:t>отменным</w:t>
      </w:r>
      <w:proofErr w:type="gramEnd"/>
      <w:r w:rsidRPr="00FF05BF">
        <w:rPr>
          <w:rFonts w:ascii="Times New Roman" w:eastAsia="Times New Roman" w:hAnsi="Times New Roman" w:cs="Times New Roman"/>
          <w:sz w:val="24"/>
          <w:szCs w:val="24"/>
        </w:rPr>
        <w:t xml:space="preserve"> качество и уверенно занимает свою товарную нишу, что позволяет удерживать стабильный уровень производства в течение ряда лет. В ассортимент цеха, кроме традиционного вида продукции, такого как сливочное масло крестьянское, входит разработка предприятия – продукт с комбинированным жировым составом – </w:t>
      </w:r>
      <w:proofErr w:type="spellStart"/>
      <w:r w:rsidRPr="00FF05BF">
        <w:rPr>
          <w:rFonts w:ascii="Times New Roman" w:eastAsia="Times New Roman" w:hAnsi="Times New Roman" w:cs="Times New Roman"/>
          <w:sz w:val="24"/>
          <w:szCs w:val="24"/>
        </w:rPr>
        <w:t>спред</w:t>
      </w:r>
      <w:proofErr w:type="spellEnd"/>
      <w:r w:rsidRPr="00FF05BF">
        <w:rPr>
          <w:rFonts w:ascii="Times New Roman" w:eastAsia="Times New Roman" w:hAnsi="Times New Roman" w:cs="Times New Roman"/>
          <w:sz w:val="24"/>
          <w:szCs w:val="24"/>
        </w:rPr>
        <w:t xml:space="preserve"> «Уральские просторы». Для увеличения выхода готовой продукции с 1 тонны перерабатываемого молочного сырья запланирована ежегодная выработка </w:t>
      </w:r>
      <w:proofErr w:type="spellStart"/>
      <w:r w:rsidRPr="00FF05BF">
        <w:rPr>
          <w:rFonts w:ascii="Times New Roman" w:eastAsia="Times New Roman" w:hAnsi="Times New Roman" w:cs="Times New Roman"/>
          <w:sz w:val="24"/>
          <w:szCs w:val="24"/>
        </w:rPr>
        <w:t>спредов</w:t>
      </w:r>
      <w:proofErr w:type="spellEnd"/>
      <w:r w:rsidRPr="00FF05BF">
        <w:rPr>
          <w:rFonts w:ascii="Times New Roman" w:eastAsia="Times New Roman" w:hAnsi="Times New Roman" w:cs="Times New Roman"/>
          <w:sz w:val="24"/>
          <w:szCs w:val="24"/>
        </w:rPr>
        <w:t xml:space="preserve"> в 2020-2024г.г. в объеме 470 тонн. </w:t>
      </w:r>
    </w:p>
    <w:p w:rsidR="00FF05BF" w:rsidRPr="00FF05BF" w:rsidRDefault="00FF05BF" w:rsidP="00FF05BF">
      <w:pPr>
        <w:pStyle w:val="a4"/>
        <w:ind w:firstLine="540"/>
        <w:jc w:val="both"/>
        <w:rPr>
          <w:sz w:val="24"/>
        </w:rPr>
      </w:pPr>
      <w:r w:rsidRPr="00FF05BF">
        <w:rPr>
          <w:sz w:val="24"/>
        </w:rPr>
        <w:t>Объёмы производства цельномолочной и нежирной продукции планируются на основании заявок торгующих организаций г. Белебея. Работниками отдела сбыта ведется постоянная работа по изучению спроса населения в тесном контакте с работниками управления торговли г. Белебея. Продукция комбината пользуется спросом у торговых предприятий, который особенно возрастает в осеннее – зимний период.</w:t>
      </w:r>
    </w:p>
    <w:p w:rsidR="00FF05BF" w:rsidRPr="00FF05BF" w:rsidRDefault="00FF05BF" w:rsidP="00FF05BF">
      <w:pPr>
        <w:pStyle w:val="a4"/>
        <w:ind w:firstLine="540"/>
        <w:jc w:val="both"/>
        <w:rPr>
          <w:sz w:val="24"/>
        </w:rPr>
      </w:pPr>
      <w:r w:rsidRPr="00FF05BF">
        <w:rPr>
          <w:sz w:val="24"/>
        </w:rPr>
        <w:t xml:space="preserve">Предприятием ведётся регулярное расширение пунктов сбора молока в Республике Башкортостан, а также в Республике Татарстан, Оренбургской, Ульяновской областях, Удмуртии и других территориях Российской Федерации. </w:t>
      </w:r>
    </w:p>
    <w:p w:rsidR="00FF05BF" w:rsidRPr="00FF05BF" w:rsidRDefault="00FF05BF" w:rsidP="00FF05BF">
      <w:pPr>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Основными направлениями развития комбината является решение следующих задач:</w:t>
      </w:r>
    </w:p>
    <w:p w:rsidR="00FF05BF" w:rsidRPr="00FF05BF" w:rsidRDefault="00FF05BF" w:rsidP="00FF05BF">
      <w:pPr>
        <w:numPr>
          <w:ilvl w:val="0"/>
          <w:numId w:val="7"/>
        </w:numPr>
        <w:tabs>
          <w:tab w:val="clear" w:pos="1788"/>
          <w:tab w:val="num" w:pos="426"/>
        </w:tabs>
        <w:spacing w:after="0" w:line="240" w:lineRule="auto"/>
        <w:ind w:left="0" w:right="140" w:firstLine="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ежегодно увеличивать переработку молочного сырья на 2 – 4 %;</w:t>
      </w:r>
    </w:p>
    <w:p w:rsidR="00FF05BF" w:rsidRPr="00FF05BF" w:rsidRDefault="00FF05BF" w:rsidP="00FF05BF">
      <w:pPr>
        <w:numPr>
          <w:ilvl w:val="0"/>
          <w:numId w:val="7"/>
        </w:numPr>
        <w:tabs>
          <w:tab w:val="clear" w:pos="1788"/>
          <w:tab w:val="num" w:pos="426"/>
        </w:tabs>
        <w:spacing w:after="0" w:line="240" w:lineRule="auto"/>
        <w:ind w:left="0" w:right="140" w:firstLine="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продолжать работу по укреплению сырьевой зоны;</w:t>
      </w:r>
    </w:p>
    <w:p w:rsidR="00FF05BF" w:rsidRPr="00FF05BF" w:rsidRDefault="00FF05BF" w:rsidP="00FF05BF">
      <w:pPr>
        <w:numPr>
          <w:ilvl w:val="0"/>
          <w:numId w:val="7"/>
        </w:numPr>
        <w:tabs>
          <w:tab w:val="clear" w:pos="1788"/>
          <w:tab w:val="num" w:pos="426"/>
        </w:tabs>
        <w:spacing w:after="0" w:line="240" w:lineRule="auto"/>
        <w:ind w:left="0" w:right="140" w:firstLine="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продолжать работу по выводу на рынок твердых сыров повышенной ценовой категории, и довести их долю в общем объеме производства сыра в 2024 году до 65 %;</w:t>
      </w:r>
    </w:p>
    <w:p w:rsidR="00FF05BF" w:rsidRPr="00FF05BF" w:rsidRDefault="00FF05BF" w:rsidP="00FF05BF">
      <w:pPr>
        <w:numPr>
          <w:ilvl w:val="0"/>
          <w:numId w:val="7"/>
        </w:numPr>
        <w:tabs>
          <w:tab w:val="clear" w:pos="1788"/>
          <w:tab w:val="num" w:pos="426"/>
        </w:tabs>
        <w:spacing w:after="0" w:line="240" w:lineRule="auto"/>
        <w:ind w:left="0" w:right="140" w:firstLine="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продолжать работу над освоением автоматизированной сыро</w:t>
      </w:r>
      <w:r w:rsidRPr="00FF05BF">
        <w:rPr>
          <w:rFonts w:ascii="Times New Roman" w:eastAsia="Times New Roman" w:hAnsi="Times New Roman" w:cs="Times New Roman"/>
          <w:sz w:val="24"/>
          <w:szCs w:val="24"/>
        </w:rPr>
        <w:softHyphen/>
        <w:t>дельной линии, в период массовой переработки молока довести объем производства сыров сычужных до проектной мощности;</w:t>
      </w:r>
    </w:p>
    <w:p w:rsidR="00FF05BF" w:rsidRPr="00FF05BF" w:rsidRDefault="00FF05BF" w:rsidP="00FF05BF">
      <w:pPr>
        <w:tabs>
          <w:tab w:val="num" w:pos="426"/>
        </w:tabs>
        <w:spacing w:after="0" w:line="240" w:lineRule="auto"/>
        <w:ind w:right="21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   освоить автоматизированную сыродельную линию производительностью 8 тонн/смену, которая планируется к вводу в эксплуатацию в декабре 2022 года, в период массовой переработки молока довести объем производства мягких сыров до проектной мощности.</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proofErr w:type="gramStart"/>
      <w:r w:rsidRPr="00FF05BF">
        <w:rPr>
          <w:rFonts w:ascii="Times New Roman" w:eastAsia="Times New Roman" w:hAnsi="Times New Roman" w:cs="Times New Roman"/>
          <w:sz w:val="24"/>
          <w:szCs w:val="24"/>
        </w:rPr>
        <w:t xml:space="preserve">С 2016 года на комбинате ведется реализация инвестиционного проекта «Комплексное техническое перевооружение мощностей ОАО «Белебеевский молочный комбинат» для обеспечения переработки молока в объёме 196 тыс. тонн в год» направленного на модернизацию производства и увеличение производственных мощностей, в рамках проекта на текущий момент освоены инвестиции на сумму 2 млрд. 647 млн. рублей при плановом значении 2 млрд. 260 млн. рублей. </w:t>
      </w:r>
      <w:proofErr w:type="gramEnd"/>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lastRenderedPageBreak/>
        <w:t xml:space="preserve">В 2005 году комбинатом получено заключение о соответствии продукции международным стандартам. ОАО «Белебеевский молочный комбинат» стал вторым в Республике Башкортостан предприятием молочной промышленности, прошедшим  сертификацию по ИСО 9001 – 2001. </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В 2010 году на комбинате внедрена система менеджмента безопасности продукции. Основная цель системы ХАССП – предотвращение, контроль и устранение опасных факторов, которые угрожают безопасности продуктов питания на всем протяжении их жизненного цикла от момента получения сырья до реализации готового продукта потребителю.</w:t>
      </w:r>
    </w:p>
    <w:p w:rsidR="00FF05BF" w:rsidRPr="00FF05BF" w:rsidRDefault="00FF05BF" w:rsidP="00FF05BF">
      <w:pPr>
        <w:tabs>
          <w:tab w:val="num" w:pos="426"/>
        </w:tabs>
        <w:spacing w:after="0" w:line="240" w:lineRule="auto"/>
        <w:ind w:right="210" w:firstLine="540"/>
        <w:jc w:val="both"/>
        <w:rPr>
          <w:rFonts w:ascii="Times New Roman" w:eastAsia="Times New Roman" w:hAnsi="Times New Roman" w:cs="Times New Roman"/>
          <w:sz w:val="24"/>
          <w:szCs w:val="24"/>
        </w:rPr>
      </w:pPr>
      <w:r w:rsidRPr="00FF05BF">
        <w:rPr>
          <w:rFonts w:ascii="Times New Roman" w:eastAsia="Times New Roman" w:hAnsi="Times New Roman" w:cs="Times New Roman"/>
          <w:sz w:val="24"/>
          <w:szCs w:val="24"/>
        </w:rPr>
        <w:t xml:space="preserve">Темп роста объемов производства на предприятии в сопоставимых ценах в базовом варианте прогнозируется в размере 11,9% в 2020 году, 1,7% в 2021 году, 0,3% в 2022 году, 5% в 2023 году, при этом темп </w:t>
      </w:r>
      <w:proofErr w:type="gramStart"/>
      <w:r w:rsidRPr="00FF05BF">
        <w:rPr>
          <w:rFonts w:ascii="Times New Roman" w:eastAsia="Times New Roman" w:hAnsi="Times New Roman" w:cs="Times New Roman"/>
          <w:sz w:val="24"/>
          <w:szCs w:val="24"/>
        </w:rPr>
        <w:t>роста</w:t>
      </w:r>
      <w:proofErr w:type="gramEnd"/>
      <w:r w:rsidRPr="00FF05BF">
        <w:rPr>
          <w:rFonts w:ascii="Times New Roman" w:eastAsia="Times New Roman" w:hAnsi="Times New Roman" w:cs="Times New Roman"/>
          <w:sz w:val="24"/>
          <w:szCs w:val="24"/>
        </w:rPr>
        <w:t xml:space="preserve"> ожидаемый в 2023 году связан с планируемым освоением автоматизированной сыродельной линии по производству мягких сыров производительностью 8 тонн/смену, которая планируется к вводу в эксплуатацию в декабре 2022 года.</w:t>
      </w:r>
    </w:p>
    <w:p w:rsidR="00FF05BF" w:rsidRPr="00FF05BF" w:rsidRDefault="00FF05BF" w:rsidP="00FF05BF">
      <w:pPr>
        <w:pStyle w:val="a4"/>
        <w:ind w:firstLine="540"/>
        <w:jc w:val="both"/>
        <w:rPr>
          <w:i/>
          <w:color w:val="FF0000"/>
          <w:sz w:val="24"/>
        </w:rPr>
      </w:pPr>
      <w:r w:rsidRPr="00FF05BF">
        <w:rPr>
          <w:b/>
          <w:sz w:val="24"/>
        </w:rPr>
        <w:t>ОАО «Керамика»</w:t>
      </w:r>
      <w:r w:rsidRPr="00FF05BF">
        <w:rPr>
          <w:sz w:val="24"/>
        </w:rPr>
        <w:t xml:space="preserve">, работающее по виду деятельности «производство прочих неметаллических минеральных продуктов», представляет собой завод по выпуску керамического пустотелого кирпича методом пластического формирования на вакуумном прессе. В 2019 году выпущено 46 млн. штук условного керамического кирпича. </w:t>
      </w:r>
    </w:p>
    <w:p w:rsidR="00FF05BF" w:rsidRPr="00FF05BF" w:rsidRDefault="00FF05BF" w:rsidP="00FF05BF">
      <w:pPr>
        <w:pStyle w:val="a4"/>
        <w:ind w:firstLine="540"/>
        <w:jc w:val="both"/>
        <w:rPr>
          <w:sz w:val="24"/>
        </w:rPr>
      </w:pPr>
      <w:r w:rsidRPr="00FF05BF">
        <w:rPr>
          <w:sz w:val="24"/>
        </w:rPr>
        <w:t xml:space="preserve">Развитие предприятия по всем направлениям деятельности на среднесрочный и долгосрочный периоды предусматривает сохранение достигнутого уровня производства и  продолжение целенаправленной работы по оптимизации расходов, достижению более высоких критериев качества производимой продукции, расширению ассортимента кирпича, обеспечению качественного технического обслуживания производственных фондов.  </w:t>
      </w:r>
    </w:p>
    <w:p w:rsidR="00FF05BF" w:rsidRPr="00FF05BF" w:rsidRDefault="00FF05BF" w:rsidP="00FF05BF">
      <w:pPr>
        <w:pStyle w:val="a4"/>
        <w:ind w:firstLine="540"/>
        <w:jc w:val="both"/>
        <w:rPr>
          <w:sz w:val="24"/>
        </w:rPr>
      </w:pPr>
      <w:r w:rsidRPr="00FF05BF">
        <w:rPr>
          <w:sz w:val="24"/>
        </w:rPr>
        <w:t xml:space="preserve">На </w:t>
      </w:r>
      <w:proofErr w:type="spellStart"/>
      <w:r w:rsidRPr="00FF05BF">
        <w:rPr>
          <w:sz w:val="24"/>
        </w:rPr>
        <w:t>ресурсоснабжающем</w:t>
      </w:r>
      <w:proofErr w:type="spellEnd"/>
      <w:r w:rsidRPr="00FF05BF">
        <w:rPr>
          <w:sz w:val="24"/>
        </w:rPr>
        <w:t xml:space="preserve"> предприят</w:t>
      </w:r>
      <w:proofErr w:type="gramStart"/>
      <w:r w:rsidRPr="00FF05BF">
        <w:rPr>
          <w:sz w:val="24"/>
        </w:rPr>
        <w:t xml:space="preserve">ии </w:t>
      </w:r>
      <w:r w:rsidRPr="00FF05BF">
        <w:rPr>
          <w:b/>
          <w:sz w:val="24"/>
        </w:rPr>
        <w:t>ООО</w:t>
      </w:r>
      <w:proofErr w:type="gramEnd"/>
      <w:r w:rsidRPr="00FF05BF">
        <w:rPr>
          <w:b/>
          <w:sz w:val="24"/>
        </w:rPr>
        <w:t xml:space="preserve"> «Белебеевский водоканал»</w:t>
      </w:r>
      <w:r w:rsidRPr="00FF05BF">
        <w:rPr>
          <w:sz w:val="24"/>
        </w:rPr>
        <w:t xml:space="preserve"> в планируемом периоде ожидается незначительное снижение объёмов реализации предоставляемых услуг по всем группам потребителей. Основным потребителем услуг </w:t>
      </w:r>
      <w:proofErr w:type="gramStart"/>
      <w:r w:rsidRPr="00FF05BF">
        <w:rPr>
          <w:sz w:val="24"/>
        </w:rPr>
        <w:t>является население и составляет</w:t>
      </w:r>
      <w:proofErr w:type="gramEnd"/>
      <w:r w:rsidRPr="00FF05BF">
        <w:rPr>
          <w:sz w:val="24"/>
        </w:rPr>
        <w:t xml:space="preserve"> 85% от общего объёма реализации. На предприятии ежегодно проводятся мероприятия, направленные на снижение затрат: внедрение энергосберегающего оборудования, отказ от центрального отопления и строительство собственных газовых </w:t>
      </w:r>
      <w:proofErr w:type="spellStart"/>
      <w:r w:rsidRPr="00FF05BF">
        <w:rPr>
          <w:sz w:val="24"/>
        </w:rPr>
        <w:t>миникотельных</w:t>
      </w:r>
      <w:proofErr w:type="spellEnd"/>
      <w:r w:rsidRPr="00FF05BF">
        <w:rPr>
          <w:sz w:val="24"/>
        </w:rPr>
        <w:t>.</w:t>
      </w:r>
    </w:p>
    <w:p w:rsidR="00FF05BF" w:rsidRPr="00FF05BF" w:rsidRDefault="00FF05BF" w:rsidP="00FF05BF">
      <w:pPr>
        <w:pStyle w:val="a4"/>
        <w:ind w:firstLine="540"/>
        <w:jc w:val="both"/>
        <w:rPr>
          <w:sz w:val="24"/>
        </w:rPr>
      </w:pPr>
      <w:r w:rsidRPr="00FF05BF">
        <w:rPr>
          <w:sz w:val="24"/>
        </w:rPr>
        <w:t xml:space="preserve">Учитывая существующие тенденции развития отраслей экономики, ожидается незначительное снижение объемов отгрузки предприятий промышленного комплекса по полному кругу предприятий в 2020 году до уровня </w:t>
      </w:r>
      <w:r w:rsidRPr="00FF05BF">
        <w:rPr>
          <w:b/>
          <w:sz w:val="24"/>
        </w:rPr>
        <w:t xml:space="preserve">97,4%. </w:t>
      </w:r>
      <w:r w:rsidRPr="00FF05BF">
        <w:rPr>
          <w:sz w:val="24"/>
        </w:rPr>
        <w:t xml:space="preserve">В последующие годы  прогнозируется планомерный рост производства продукции в базовом варианте 2021 года на 0,1%, в 2022 году на 1%, 2023 года на 2,6%. </w:t>
      </w:r>
    </w:p>
    <w:p w:rsidR="0076391E" w:rsidRPr="00E0032C" w:rsidRDefault="0076391E" w:rsidP="00AA45FA">
      <w:pPr>
        <w:pStyle w:val="a4"/>
        <w:ind w:firstLine="709"/>
        <w:jc w:val="both"/>
        <w:rPr>
          <w:color w:val="FF0000"/>
          <w:sz w:val="24"/>
        </w:rPr>
      </w:pPr>
    </w:p>
    <w:p w:rsidR="00315CE3" w:rsidRPr="00FF05BF" w:rsidRDefault="00315CE3" w:rsidP="00AA45FA">
      <w:pPr>
        <w:pStyle w:val="a4"/>
        <w:ind w:firstLine="709"/>
        <w:jc w:val="center"/>
        <w:rPr>
          <w:sz w:val="24"/>
        </w:rPr>
      </w:pPr>
      <w:r w:rsidRPr="00FF05BF">
        <w:rPr>
          <w:sz w:val="24"/>
        </w:rPr>
        <w:t>Инвестиции</w:t>
      </w:r>
    </w:p>
    <w:p w:rsidR="00E0032C" w:rsidRPr="00E0032C" w:rsidRDefault="00E0032C" w:rsidP="00E0032C">
      <w:pPr>
        <w:spacing w:after="0" w:line="240" w:lineRule="auto"/>
        <w:ind w:left="33" w:firstLine="567"/>
        <w:contextualSpacing/>
        <w:jc w:val="both"/>
        <w:rPr>
          <w:rFonts w:ascii="Times New Roman" w:eastAsia="Times New Roman" w:hAnsi="Times New Roman" w:cs="Times New Roman"/>
          <w:sz w:val="24"/>
          <w:szCs w:val="24"/>
        </w:rPr>
      </w:pPr>
      <w:r w:rsidRPr="00E0032C">
        <w:rPr>
          <w:rFonts w:ascii="Times New Roman" w:eastAsia="Times New Roman" w:hAnsi="Times New Roman" w:cs="Times New Roman"/>
          <w:sz w:val="24"/>
          <w:szCs w:val="24"/>
        </w:rPr>
        <w:t xml:space="preserve">Объем инвестиций в основной капитал по крупным и средним предприятиям в 2019 году составил 1,84 млрд. рублей, индекс физического объема инвестиций – 110,8%.  </w:t>
      </w:r>
    </w:p>
    <w:p w:rsidR="00E0032C" w:rsidRPr="00E0032C" w:rsidRDefault="00E0032C" w:rsidP="00E0032C">
      <w:pPr>
        <w:spacing w:after="0" w:line="240" w:lineRule="auto"/>
        <w:ind w:left="33" w:firstLine="567"/>
        <w:contextualSpacing/>
        <w:jc w:val="both"/>
        <w:rPr>
          <w:rFonts w:ascii="Times New Roman" w:eastAsia="Times New Roman" w:hAnsi="Times New Roman" w:cs="Times New Roman"/>
          <w:sz w:val="24"/>
          <w:szCs w:val="24"/>
        </w:rPr>
      </w:pPr>
      <w:r w:rsidRPr="00E0032C">
        <w:rPr>
          <w:rFonts w:ascii="Times New Roman" w:eastAsia="Times New Roman" w:hAnsi="Times New Roman" w:cs="Times New Roman"/>
          <w:sz w:val="24"/>
          <w:szCs w:val="24"/>
        </w:rPr>
        <w:t>Рост инвестиций в основной капитал (за исключением бюджетных средств) произошёл по следующим причинам:</w:t>
      </w:r>
    </w:p>
    <w:p w:rsidR="00E0032C" w:rsidRPr="00E0032C" w:rsidRDefault="00E0032C" w:rsidP="00E0032C">
      <w:pPr>
        <w:pStyle w:val="a6"/>
        <w:spacing w:after="0" w:line="240" w:lineRule="auto"/>
        <w:ind w:left="33" w:firstLine="567"/>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АО "Белебеевский Ордена "Знак Почета молочный комбинат" продолжает реализацию инвестиционного проекта «Комплексное техническое перевооружение мощностей ОАО "Белебеевский молочный комбинат" для обеспечения переработки молока в объёме 196 тыс. тонн в год»;</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 ООО "Северная Нива Башкирия" начала реализацию инвестиционного проекта «Строительство двух животноводческих комплексов молочного направления </w:t>
      </w:r>
      <w:proofErr w:type="spellStart"/>
      <w:r w:rsidRPr="00E0032C">
        <w:rPr>
          <w:rFonts w:ascii="Times New Roman" w:eastAsia="Times New Roman" w:hAnsi="Times New Roman"/>
          <w:sz w:val="24"/>
          <w:szCs w:val="24"/>
          <w:lang w:eastAsia="ru-RU"/>
        </w:rPr>
        <w:t>Аделькино</w:t>
      </w:r>
      <w:proofErr w:type="spellEnd"/>
      <w:r w:rsidRPr="00E0032C">
        <w:rPr>
          <w:rFonts w:ascii="Times New Roman" w:eastAsia="Times New Roman" w:hAnsi="Times New Roman"/>
          <w:sz w:val="24"/>
          <w:szCs w:val="24"/>
          <w:lang w:eastAsia="ru-RU"/>
        </w:rPr>
        <w:t xml:space="preserve"> и Русская Швейцария»;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ОАО «Керамика» - обновление автопарка,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а также завершением в 2019 году в рамках РАИП строительства детского сада на 150 мест по ул. Горохова в г. Белебей и приобретением медицинского оборудования для родильного дома   г. Белебей.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lastRenderedPageBreak/>
        <w:t xml:space="preserve">  Вложение инвестиций осуществлялось благодаря реализации мероприятий по модернизации и диверсификации производств, в том числе новых инвестиционных проектов.</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На строительство и реконструкцию объектов социального значения за счет средств федерального бюджета, бюджета Республики Башкортостан, бюджета муниципального района, благотворительного фонда в 2019 году было направлено 636,01 млн. рублей или 34,5% от общего объема инвестиций.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В  2019  году  выполнены строительные работы на сумму 38,92 млн. рублей по  объекту инфраструктуры «Локальные очистные сооружения производительностью 3500м3/сутки» для реализации инвестиционного проекта  АО «Белебеевский ордена «Знак Почета» молочный комбинат». Продолжается строительство комплекса сооружений водозабора для водоснабжения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елебей на базе источника хвостовой части Комсомольского пруда («</w:t>
      </w:r>
      <w:proofErr w:type="spellStart"/>
      <w:r w:rsidRPr="00E0032C">
        <w:rPr>
          <w:rFonts w:ascii="Times New Roman" w:eastAsia="Times New Roman" w:hAnsi="Times New Roman"/>
          <w:sz w:val="24"/>
          <w:szCs w:val="24"/>
          <w:lang w:eastAsia="ru-RU"/>
        </w:rPr>
        <w:t>Усень</w:t>
      </w:r>
      <w:proofErr w:type="spellEnd"/>
      <w:r w:rsidRPr="00E0032C">
        <w:rPr>
          <w:rFonts w:ascii="Times New Roman" w:eastAsia="Times New Roman" w:hAnsi="Times New Roman"/>
          <w:sz w:val="24"/>
          <w:szCs w:val="24"/>
          <w:lang w:eastAsia="ru-RU"/>
        </w:rPr>
        <w:t xml:space="preserve">»), проведена реконструкция водоснабжения с.Аксаково </w:t>
      </w:r>
      <w:proofErr w:type="spellStart"/>
      <w:r w:rsidRPr="00E0032C">
        <w:rPr>
          <w:rFonts w:ascii="Times New Roman" w:eastAsia="Times New Roman" w:hAnsi="Times New Roman"/>
          <w:sz w:val="24"/>
          <w:szCs w:val="24"/>
          <w:lang w:eastAsia="ru-RU"/>
        </w:rPr>
        <w:t>Белебеевского</w:t>
      </w:r>
      <w:proofErr w:type="spellEnd"/>
      <w:r w:rsidRPr="00E0032C">
        <w:rPr>
          <w:rFonts w:ascii="Times New Roman" w:eastAsia="Times New Roman" w:hAnsi="Times New Roman"/>
          <w:sz w:val="24"/>
          <w:szCs w:val="24"/>
          <w:lang w:eastAsia="ru-RU"/>
        </w:rPr>
        <w:t xml:space="preserve"> района РБ, также продолжаются работы по благоустройству городского пруда в г.Белебей. За счет внебюджетных средств в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 xml:space="preserve">елебее ведутся работы по строительству пяти торговых центров, два из которых в 2020 году в ведены в эксплуатацию.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Отличительной особенностью инвестирования в промышленные объекты в последние годы является реализация  проектов, направленных на диверсификацию производства, расширение рынков сбыта продукции и минимизацию </w:t>
      </w:r>
      <w:proofErr w:type="spellStart"/>
      <w:r w:rsidRPr="00E0032C">
        <w:rPr>
          <w:rFonts w:ascii="Times New Roman" w:eastAsia="Times New Roman" w:hAnsi="Times New Roman"/>
          <w:sz w:val="24"/>
          <w:szCs w:val="24"/>
          <w:lang w:eastAsia="ru-RU"/>
        </w:rPr>
        <w:t>монопрофильной</w:t>
      </w:r>
      <w:proofErr w:type="spellEnd"/>
      <w:r w:rsidRPr="00E0032C">
        <w:rPr>
          <w:rFonts w:ascii="Times New Roman" w:eastAsia="Times New Roman" w:hAnsi="Times New Roman"/>
          <w:sz w:val="24"/>
          <w:szCs w:val="24"/>
          <w:lang w:eastAsia="ru-RU"/>
        </w:rPr>
        <w:t xml:space="preserve"> структуры экономики района.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Предприятием по производству нормалей и метизов АО «</w:t>
      </w:r>
      <w:proofErr w:type="spellStart"/>
      <w:r w:rsidRPr="00E0032C">
        <w:rPr>
          <w:rFonts w:ascii="Times New Roman" w:eastAsia="Times New Roman" w:hAnsi="Times New Roman"/>
          <w:sz w:val="24"/>
          <w:szCs w:val="24"/>
          <w:lang w:eastAsia="ru-RU"/>
        </w:rPr>
        <w:t>БелЗАН</w:t>
      </w:r>
      <w:proofErr w:type="spellEnd"/>
      <w:r w:rsidRPr="00E0032C">
        <w:rPr>
          <w:rFonts w:ascii="Times New Roman" w:eastAsia="Times New Roman" w:hAnsi="Times New Roman"/>
          <w:sz w:val="24"/>
          <w:szCs w:val="24"/>
          <w:lang w:eastAsia="ru-RU"/>
        </w:rPr>
        <w:t>» продолжается реализация проекта по освоению производства крепежа для авиа и судостроения, модернизации существующего производства с целью повышения качества готовой продукции, снижения энергоёмкости продукции и повышению её рентабельности. Объем инвестиций в 2019 году составил 24,2 млн</w:t>
      </w:r>
      <w:proofErr w:type="gramStart"/>
      <w:r w:rsidRPr="00E0032C">
        <w:rPr>
          <w:rFonts w:ascii="Times New Roman" w:eastAsia="Times New Roman" w:hAnsi="Times New Roman"/>
          <w:sz w:val="24"/>
          <w:szCs w:val="24"/>
          <w:lang w:eastAsia="ru-RU"/>
        </w:rPr>
        <w:t>.р</w:t>
      </w:r>
      <w:proofErr w:type="gramEnd"/>
      <w:r w:rsidRPr="00E0032C">
        <w:rPr>
          <w:rFonts w:ascii="Times New Roman" w:eastAsia="Times New Roman" w:hAnsi="Times New Roman"/>
          <w:sz w:val="24"/>
          <w:szCs w:val="24"/>
          <w:lang w:eastAsia="ru-RU"/>
        </w:rPr>
        <w:t>ублей, в последующие годы ожидается не менее 25 млн. рублей.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«Белебеевский завод «</w:t>
      </w:r>
      <w:proofErr w:type="spellStart"/>
      <w:r w:rsidRPr="00E0032C">
        <w:rPr>
          <w:rFonts w:ascii="Times New Roman" w:eastAsia="Times New Roman" w:hAnsi="Times New Roman"/>
          <w:sz w:val="24"/>
          <w:szCs w:val="24"/>
          <w:lang w:eastAsia="ru-RU"/>
        </w:rPr>
        <w:t>Автокомплект</w:t>
      </w:r>
      <w:proofErr w:type="spellEnd"/>
      <w:r w:rsidRPr="00E0032C">
        <w:rPr>
          <w:rFonts w:ascii="Times New Roman" w:eastAsia="Times New Roman" w:hAnsi="Times New Roman"/>
          <w:sz w:val="24"/>
          <w:szCs w:val="24"/>
          <w:lang w:eastAsia="ru-RU"/>
        </w:rPr>
        <w:t>», специализирующийся на выпуске продукции для автомобильной промышленности, в 2019 году завершил инвестиционный проект по освоению производства элементов передней подвески для автомобилей нового поколения производства «АвтоВАЗ». Объем инвестиций составил порядка 75 млн. рублей за три года реализации инвестиционного проекта.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В 2020 год</w:t>
      </w:r>
      <w:proofErr w:type="gramStart"/>
      <w:r w:rsidRPr="00E0032C">
        <w:rPr>
          <w:rFonts w:ascii="Times New Roman" w:eastAsia="Times New Roman" w:hAnsi="Times New Roman"/>
          <w:sz w:val="24"/>
          <w:szCs w:val="24"/>
          <w:lang w:eastAsia="ru-RU"/>
        </w:rPr>
        <w:t>у ООО</w:t>
      </w:r>
      <w:proofErr w:type="gramEnd"/>
      <w:r w:rsidRPr="00E0032C">
        <w:rPr>
          <w:rFonts w:ascii="Times New Roman" w:eastAsia="Times New Roman" w:hAnsi="Times New Roman"/>
          <w:sz w:val="24"/>
          <w:szCs w:val="24"/>
          <w:lang w:eastAsia="ru-RU"/>
        </w:rPr>
        <w:t xml:space="preserve"> «Белебеевский завод «</w:t>
      </w:r>
      <w:proofErr w:type="spellStart"/>
      <w:r w:rsidRPr="00E0032C">
        <w:rPr>
          <w:rFonts w:ascii="Times New Roman" w:eastAsia="Times New Roman" w:hAnsi="Times New Roman"/>
          <w:sz w:val="24"/>
          <w:szCs w:val="24"/>
          <w:lang w:eastAsia="ru-RU"/>
        </w:rPr>
        <w:t>Автокомплект</w:t>
      </w:r>
      <w:proofErr w:type="spellEnd"/>
      <w:r w:rsidRPr="00E0032C">
        <w:rPr>
          <w:rFonts w:ascii="Times New Roman" w:eastAsia="Times New Roman" w:hAnsi="Times New Roman"/>
          <w:sz w:val="24"/>
          <w:szCs w:val="24"/>
          <w:lang w:eastAsia="ru-RU"/>
        </w:rPr>
        <w:t xml:space="preserve">» с участием фонда развитии промышленности Республики Башкортостан начал реализацию нового инвестиционного проекта «Модернизация производства </w:t>
      </w:r>
      <w:proofErr w:type="spellStart"/>
      <w:r w:rsidRPr="00E0032C">
        <w:rPr>
          <w:rFonts w:ascii="Times New Roman" w:eastAsia="Times New Roman" w:hAnsi="Times New Roman"/>
          <w:sz w:val="24"/>
          <w:szCs w:val="24"/>
          <w:lang w:eastAsia="ru-RU"/>
        </w:rPr>
        <w:t>автокомпонентов</w:t>
      </w:r>
      <w:proofErr w:type="spellEnd"/>
      <w:r w:rsidRPr="00E0032C">
        <w:rPr>
          <w:rFonts w:ascii="Times New Roman" w:eastAsia="Times New Roman" w:hAnsi="Times New Roman"/>
          <w:sz w:val="24"/>
          <w:szCs w:val="24"/>
          <w:lang w:eastAsia="ru-RU"/>
        </w:rPr>
        <w:t xml:space="preserve"> ходовой части и рулевого управления легкового автомобиля». Плановый объем инвестиций составит 107,2 млн. рублей, также планируется создать 24 новых рабочих места.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Предприятие по производству твердых сычужных сыров и другой молочной продукц</w:t>
      </w:r>
      <w:proofErr w:type="gramStart"/>
      <w:r w:rsidRPr="00E0032C">
        <w:rPr>
          <w:rFonts w:ascii="Times New Roman" w:eastAsia="Times New Roman" w:hAnsi="Times New Roman"/>
          <w:sz w:val="24"/>
          <w:szCs w:val="24"/>
          <w:lang w:eastAsia="ru-RU"/>
        </w:rPr>
        <w:t>ии АО</w:t>
      </w:r>
      <w:proofErr w:type="gramEnd"/>
      <w:r w:rsidRPr="00E0032C">
        <w:rPr>
          <w:rFonts w:ascii="Times New Roman" w:eastAsia="Times New Roman" w:hAnsi="Times New Roman"/>
          <w:sz w:val="24"/>
          <w:szCs w:val="24"/>
          <w:lang w:eastAsia="ru-RU"/>
        </w:rPr>
        <w:t xml:space="preserve"> «Белебеевский ордена «Знак Почёта» молочный комбинат» осваивает автоматизированную сыро</w:t>
      </w:r>
      <w:r w:rsidRPr="00E0032C">
        <w:rPr>
          <w:rFonts w:ascii="Times New Roman" w:eastAsia="Times New Roman" w:hAnsi="Times New Roman"/>
          <w:sz w:val="24"/>
          <w:szCs w:val="24"/>
          <w:lang w:eastAsia="ru-RU"/>
        </w:rPr>
        <w:softHyphen/>
        <w:t xml:space="preserve">дельную линию, реконструирует энергохозяйство, маслодельный цех, </w:t>
      </w:r>
      <w:proofErr w:type="spellStart"/>
      <w:r w:rsidRPr="00E0032C">
        <w:rPr>
          <w:rFonts w:ascii="Times New Roman" w:eastAsia="Times New Roman" w:hAnsi="Times New Roman"/>
          <w:sz w:val="24"/>
          <w:szCs w:val="24"/>
          <w:lang w:eastAsia="ru-RU"/>
        </w:rPr>
        <w:t>сырохранилище</w:t>
      </w:r>
      <w:proofErr w:type="spellEnd"/>
      <w:r w:rsidRPr="00E0032C">
        <w:rPr>
          <w:rFonts w:ascii="Times New Roman" w:eastAsia="Times New Roman" w:hAnsi="Times New Roman"/>
          <w:sz w:val="24"/>
          <w:szCs w:val="24"/>
          <w:lang w:eastAsia="ru-RU"/>
        </w:rPr>
        <w:t>, обновляет автомобильный транспорт. В 2019 году в производственной программе предприятия на эти цели было потрачено 612,9 млн. рублей, в 2020 году планируется направить 500 млн. рублей капитальных вложений.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ООО «Белебеевский машиностроительный завод» специализируется на производстве насосов различных модификаций, нестандартного оборудования, изделий из </w:t>
      </w:r>
      <w:proofErr w:type="spellStart"/>
      <w:r w:rsidRPr="00E0032C">
        <w:rPr>
          <w:rFonts w:ascii="Times New Roman" w:eastAsia="Times New Roman" w:hAnsi="Times New Roman"/>
          <w:sz w:val="24"/>
          <w:szCs w:val="24"/>
          <w:lang w:eastAsia="ru-RU"/>
        </w:rPr>
        <w:t>металлопорошка</w:t>
      </w:r>
      <w:proofErr w:type="spellEnd"/>
      <w:r w:rsidRPr="00E0032C">
        <w:rPr>
          <w:rFonts w:ascii="Times New Roman" w:eastAsia="Times New Roman" w:hAnsi="Times New Roman"/>
          <w:sz w:val="24"/>
          <w:szCs w:val="24"/>
          <w:lang w:eastAsia="ru-RU"/>
        </w:rPr>
        <w:t>, чугунного и алюминиевого литья. Предприятием в 2019 году освоено инвестиций на сумму 4,36 млн. рублей. В 2020 году предприятием планируется приобрести оборудование на сумму 5 млн. рублей.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НПП «АММА» на базе существующего производства в 2019 году продолжил реализацию инвестиционного проекта «Организация производства по выпуску металлоконструкций», в рамках которого освоено 102 млн</w:t>
      </w:r>
      <w:proofErr w:type="gramStart"/>
      <w:r w:rsidRPr="00E0032C">
        <w:rPr>
          <w:rFonts w:ascii="Times New Roman" w:eastAsia="Times New Roman" w:hAnsi="Times New Roman"/>
          <w:sz w:val="24"/>
          <w:szCs w:val="24"/>
          <w:lang w:eastAsia="ru-RU"/>
        </w:rPr>
        <w:t>.р</w:t>
      </w:r>
      <w:proofErr w:type="gramEnd"/>
      <w:r w:rsidRPr="00E0032C">
        <w:rPr>
          <w:rFonts w:ascii="Times New Roman" w:eastAsia="Times New Roman" w:hAnsi="Times New Roman"/>
          <w:sz w:val="24"/>
          <w:szCs w:val="24"/>
          <w:lang w:eastAsia="ru-RU"/>
        </w:rPr>
        <w:t>ублей. В 2020 году предприятием планируется освоить 105 млн</w:t>
      </w:r>
      <w:proofErr w:type="gramStart"/>
      <w:r w:rsidRPr="00E0032C">
        <w:rPr>
          <w:rFonts w:ascii="Times New Roman" w:eastAsia="Times New Roman" w:hAnsi="Times New Roman"/>
          <w:sz w:val="24"/>
          <w:szCs w:val="24"/>
          <w:lang w:eastAsia="ru-RU"/>
        </w:rPr>
        <w:t>.р</w:t>
      </w:r>
      <w:proofErr w:type="gramEnd"/>
      <w:r w:rsidRPr="00E0032C">
        <w:rPr>
          <w:rFonts w:ascii="Times New Roman" w:eastAsia="Times New Roman" w:hAnsi="Times New Roman"/>
          <w:sz w:val="24"/>
          <w:szCs w:val="24"/>
          <w:lang w:eastAsia="ru-RU"/>
        </w:rPr>
        <w:t xml:space="preserve">ублей. Суммарная стоимость проекта составляет 350 млн. </w:t>
      </w:r>
      <w:proofErr w:type="gramStart"/>
      <w:r w:rsidRPr="00E0032C">
        <w:rPr>
          <w:rFonts w:ascii="Times New Roman" w:eastAsia="Times New Roman" w:hAnsi="Times New Roman"/>
          <w:sz w:val="24"/>
          <w:szCs w:val="24"/>
          <w:lang w:eastAsia="ru-RU"/>
        </w:rPr>
        <w:t>рублей</w:t>
      </w:r>
      <w:proofErr w:type="gramEnd"/>
      <w:r w:rsidRPr="00E0032C">
        <w:rPr>
          <w:rFonts w:ascii="Times New Roman" w:eastAsia="Times New Roman" w:hAnsi="Times New Roman"/>
          <w:sz w:val="24"/>
          <w:szCs w:val="24"/>
          <w:lang w:eastAsia="ru-RU"/>
        </w:rPr>
        <w:t xml:space="preserve"> в рамках которого планируется создать 170 новых рабочих мест.</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w:t>
      </w:r>
      <w:proofErr w:type="spellStart"/>
      <w:r w:rsidRPr="00E0032C">
        <w:rPr>
          <w:rFonts w:ascii="Times New Roman" w:eastAsia="Times New Roman" w:hAnsi="Times New Roman"/>
          <w:sz w:val="24"/>
          <w:szCs w:val="24"/>
          <w:lang w:eastAsia="ru-RU"/>
        </w:rPr>
        <w:t>Люминес</w:t>
      </w:r>
      <w:proofErr w:type="spellEnd"/>
      <w:r w:rsidRPr="00E0032C">
        <w:rPr>
          <w:rFonts w:ascii="Times New Roman" w:eastAsia="Times New Roman" w:hAnsi="Times New Roman"/>
          <w:sz w:val="24"/>
          <w:szCs w:val="24"/>
          <w:lang w:eastAsia="ru-RU"/>
        </w:rPr>
        <w:t xml:space="preserve">» начал с 2019 года реализовывать инвестиционный проект по строительству цеха для сборки светодиодных ламп, в рамках которого планируется освоить не </w:t>
      </w:r>
      <w:r w:rsidRPr="00E0032C">
        <w:rPr>
          <w:rFonts w:ascii="Times New Roman" w:eastAsia="Times New Roman" w:hAnsi="Times New Roman"/>
          <w:sz w:val="24"/>
          <w:szCs w:val="24"/>
          <w:lang w:eastAsia="ru-RU"/>
        </w:rPr>
        <w:lastRenderedPageBreak/>
        <w:t>менее 153,74 млн. рублей и создать 60 новых рабочих мест. Решается вопрос по покупке оборудования.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«ЛИДЕР» планирует в 2020-2025 годах реализовать инвестиционный проект «Строительство современного молочного комбината по переработке молока мощностью 20 тонн в смену в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елебей», в рамках которого планируется освоить не менее 130 млн. рублей и создать 68 новых рабочих мест. Решается вопрос по финансированию инвестиционного проекта.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НПЦ ЭНТ ООО «Юпитер» планирует в 2020-2022 годах реализовать инвестиционный проект «Организация производства пиломатериалов и </w:t>
      </w:r>
      <w:proofErr w:type="spellStart"/>
      <w:r w:rsidRPr="00E0032C">
        <w:rPr>
          <w:rFonts w:ascii="Times New Roman" w:eastAsia="Times New Roman" w:hAnsi="Times New Roman"/>
          <w:sz w:val="24"/>
          <w:szCs w:val="24"/>
          <w:lang w:eastAsia="ru-RU"/>
        </w:rPr>
        <w:t>арболитовых</w:t>
      </w:r>
      <w:proofErr w:type="spellEnd"/>
      <w:r w:rsidRPr="00E0032C">
        <w:rPr>
          <w:rFonts w:ascii="Times New Roman" w:eastAsia="Times New Roman" w:hAnsi="Times New Roman"/>
          <w:sz w:val="24"/>
          <w:szCs w:val="24"/>
          <w:lang w:eastAsia="ru-RU"/>
        </w:rPr>
        <w:t xml:space="preserve"> панелей на территории моногорода Белебей Республики Башкортостан Приволжского региона РФ», в рамках которого планируется освоить не менее 321,8 млн. рублей и создать 143 новых рабочих мест. Ведутся проектные работы.</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«Северная Нива Башкирия» планирует в 2020-2022 годах реализовать крупный инвестиционный проект строительство двух молочно-товарных комплексов по 3300 голов дойного стада коров в д</w:t>
      </w:r>
      <w:proofErr w:type="gramStart"/>
      <w:r w:rsidRPr="00E0032C">
        <w:rPr>
          <w:rFonts w:ascii="Times New Roman" w:eastAsia="Times New Roman" w:hAnsi="Times New Roman"/>
          <w:sz w:val="24"/>
          <w:szCs w:val="24"/>
          <w:lang w:eastAsia="ru-RU"/>
        </w:rPr>
        <w:t>.Р</w:t>
      </w:r>
      <w:proofErr w:type="gramEnd"/>
      <w:r w:rsidRPr="00E0032C">
        <w:rPr>
          <w:rFonts w:ascii="Times New Roman" w:eastAsia="Times New Roman" w:hAnsi="Times New Roman"/>
          <w:sz w:val="24"/>
          <w:szCs w:val="24"/>
          <w:lang w:eastAsia="ru-RU"/>
        </w:rPr>
        <w:t xml:space="preserve">усская Швейцария </w:t>
      </w:r>
      <w:proofErr w:type="spellStart"/>
      <w:r w:rsidRPr="00E0032C">
        <w:rPr>
          <w:rFonts w:ascii="Times New Roman" w:eastAsia="Times New Roman" w:hAnsi="Times New Roman"/>
          <w:sz w:val="24"/>
          <w:szCs w:val="24"/>
          <w:lang w:eastAsia="ru-RU"/>
        </w:rPr>
        <w:t>Максим-Горьковского</w:t>
      </w:r>
      <w:proofErr w:type="spellEnd"/>
      <w:r w:rsidRPr="00E0032C">
        <w:rPr>
          <w:rFonts w:ascii="Times New Roman" w:eastAsia="Times New Roman" w:hAnsi="Times New Roman"/>
          <w:sz w:val="24"/>
          <w:szCs w:val="24"/>
          <w:lang w:eastAsia="ru-RU"/>
        </w:rPr>
        <w:t xml:space="preserve"> сельсовета и в </w:t>
      </w:r>
      <w:proofErr w:type="spellStart"/>
      <w:r w:rsidRPr="00E0032C">
        <w:rPr>
          <w:rFonts w:ascii="Times New Roman" w:eastAsia="Times New Roman" w:hAnsi="Times New Roman"/>
          <w:sz w:val="24"/>
          <w:szCs w:val="24"/>
          <w:lang w:eastAsia="ru-RU"/>
        </w:rPr>
        <w:t>с.Аделькино</w:t>
      </w:r>
      <w:proofErr w:type="spellEnd"/>
      <w:r w:rsidRPr="00E0032C">
        <w:rPr>
          <w:rFonts w:ascii="Times New Roman" w:eastAsia="Times New Roman" w:hAnsi="Times New Roman"/>
          <w:sz w:val="24"/>
          <w:szCs w:val="24"/>
          <w:lang w:eastAsia="ru-RU"/>
        </w:rPr>
        <w:t xml:space="preserve"> </w:t>
      </w:r>
      <w:proofErr w:type="spellStart"/>
      <w:r w:rsidRPr="00E0032C">
        <w:rPr>
          <w:rFonts w:ascii="Times New Roman" w:eastAsia="Times New Roman" w:hAnsi="Times New Roman"/>
          <w:sz w:val="24"/>
          <w:szCs w:val="24"/>
          <w:lang w:eastAsia="ru-RU"/>
        </w:rPr>
        <w:t>Ермолкинского</w:t>
      </w:r>
      <w:proofErr w:type="spellEnd"/>
      <w:r w:rsidRPr="00E0032C">
        <w:rPr>
          <w:rFonts w:ascii="Times New Roman" w:eastAsia="Times New Roman" w:hAnsi="Times New Roman"/>
          <w:sz w:val="24"/>
          <w:szCs w:val="24"/>
          <w:lang w:eastAsia="ru-RU"/>
        </w:rPr>
        <w:t xml:space="preserve"> сельсовета, в рамках которого планируется освоить 5,2 млрд. рублей и создать не менее 200 новых рабочих мест.</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w:t>
      </w:r>
      <w:proofErr w:type="spellStart"/>
      <w:r w:rsidRPr="00E0032C">
        <w:rPr>
          <w:rFonts w:ascii="Times New Roman" w:eastAsia="Times New Roman" w:hAnsi="Times New Roman"/>
          <w:sz w:val="24"/>
          <w:szCs w:val="24"/>
          <w:lang w:eastAsia="ru-RU"/>
        </w:rPr>
        <w:t>ЭкоНива</w:t>
      </w:r>
      <w:proofErr w:type="spellEnd"/>
      <w:r w:rsidRPr="00E0032C">
        <w:rPr>
          <w:rFonts w:ascii="Times New Roman" w:eastAsia="Times New Roman" w:hAnsi="Times New Roman"/>
          <w:sz w:val="24"/>
          <w:szCs w:val="24"/>
          <w:lang w:eastAsia="ru-RU"/>
        </w:rPr>
        <w:t xml:space="preserve"> Молоко Башкирия» планирует в 2020-2035 годах реализовать крупный инвестиционный прое</w:t>
      </w:r>
      <w:proofErr w:type="gramStart"/>
      <w:r w:rsidRPr="00E0032C">
        <w:rPr>
          <w:rFonts w:ascii="Times New Roman" w:eastAsia="Times New Roman" w:hAnsi="Times New Roman"/>
          <w:sz w:val="24"/>
          <w:szCs w:val="24"/>
          <w:lang w:eastAsia="ru-RU"/>
        </w:rPr>
        <w:t>кт стр</w:t>
      </w:r>
      <w:proofErr w:type="gramEnd"/>
      <w:r w:rsidRPr="00E0032C">
        <w:rPr>
          <w:rFonts w:ascii="Times New Roman" w:eastAsia="Times New Roman" w:hAnsi="Times New Roman"/>
          <w:sz w:val="24"/>
          <w:szCs w:val="24"/>
          <w:lang w:eastAsia="ru-RU"/>
        </w:rPr>
        <w:t xml:space="preserve">оительство молочного завода по переработке сырого молока до 1150 </w:t>
      </w:r>
      <w:proofErr w:type="spellStart"/>
      <w:r w:rsidRPr="00E0032C">
        <w:rPr>
          <w:rFonts w:ascii="Times New Roman" w:eastAsia="Times New Roman" w:hAnsi="Times New Roman"/>
          <w:sz w:val="24"/>
          <w:szCs w:val="24"/>
          <w:lang w:eastAsia="ru-RU"/>
        </w:rPr>
        <w:t>тн</w:t>
      </w:r>
      <w:proofErr w:type="spellEnd"/>
      <w:r w:rsidRPr="00E0032C">
        <w:rPr>
          <w:rFonts w:ascii="Times New Roman" w:eastAsia="Times New Roman" w:hAnsi="Times New Roman"/>
          <w:sz w:val="24"/>
          <w:szCs w:val="24"/>
          <w:lang w:eastAsia="ru-RU"/>
        </w:rPr>
        <w:t>/сутки, в рамках которого в период с 2020-2023 годах планируется освоить 12,8 млрд. рублей и создать к 2025 году 236 новых рабочих мест. Начаты проектные работы.</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ООО «УК ТАВРОС  г</w:t>
      </w:r>
      <w:proofErr w:type="gramStart"/>
      <w:r w:rsidRPr="00E0032C">
        <w:rPr>
          <w:rFonts w:ascii="Times New Roman" w:eastAsia="Times New Roman" w:hAnsi="Times New Roman"/>
          <w:sz w:val="24"/>
          <w:szCs w:val="24"/>
          <w:lang w:eastAsia="ru-RU"/>
        </w:rPr>
        <w:t>.У</w:t>
      </w:r>
      <w:proofErr w:type="gramEnd"/>
      <w:r w:rsidRPr="00E0032C">
        <w:rPr>
          <w:rFonts w:ascii="Times New Roman" w:eastAsia="Times New Roman" w:hAnsi="Times New Roman"/>
          <w:sz w:val="24"/>
          <w:szCs w:val="24"/>
          <w:lang w:eastAsia="ru-RU"/>
        </w:rPr>
        <w:t xml:space="preserve">фа» начал с 2019 года реализовывать три крупных инвестиционных проекта. Строительство двух современных </w:t>
      </w:r>
      <w:proofErr w:type="spellStart"/>
      <w:r w:rsidRPr="00E0032C">
        <w:rPr>
          <w:rFonts w:ascii="Times New Roman" w:eastAsia="Times New Roman" w:hAnsi="Times New Roman"/>
          <w:sz w:val="24"/>
          <w:szCs w:val="24"/>
          <w:lang w:eastAsia="ru-RU"/>
        </w:rPr>
        <w:t>свинокомплексов</w:t>
      </w:r>
      <w:proofErr w:type="spellEnd"/>
      <w:r w:rsidRPr="00E0032C">
        <w:rPr>
          <w:rFonts w:ascii="Times New Roman" w:eastAsia="Times New Roman" w:hAnsi="Times New Roman"/>
          <w:sz w:val="24"/>
          <w:szCs w:val="24"/>
          <w:lang w:eastAsia="ru-RU"/>
        </w:rPr>
        <w:t xml:space="preserve">, включающего в себя стандартные свинофермы на 2700 основных свиноматок каждый, на территории Донского и </w:t>
      </w:r>
      <w:proofErr w:type="spellStart"/>
      <w:r w:rsidRPr="00E0032C">
        <w:rPr>
          <w:rFonts w:ascii="Times New Roman" w:eastAsia="Times New Roman" w:hAnsi="Times New Roman"/>
          <w:sz w:val="24"/>
          <w:szCs w:val="24"/>
          <w:lang w:eastAsia="ru-RU"/>
        </w:rPr>
        <w:t>Шаровского</w:t>
      </w:r>
      <w:proofErr w:type="spellEnd"/>
      <w:r w:rsidRPr="00E0032C">
        <w:rPr>
          <w:rFonts w:ascii="Times New Roman" w:eastAsia="Times New Roman" w:hAnsi="Times New Roman"/>
          <w:sz w:val="24"/>
          <w:szCs w:val="24"/>
          <w:lang w:eastAsia="ru-RU"/>
        </w:rPr>
        <w:t xml:space="preserve"> сельсовета, в рамках которого планируется освоить 3,7 млрд. рублей и создать не менее 135 новых рабочих мест и строительство современного мясоперерабатывающего комплекса в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елебей, производительностью 240 голов/час, в рамках которого к 2025 году планируется освоить 9,7 млрд. рублей и создать не менее 1168 новых рабочих мест.</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Также в прогнозе на 2023 год предусмотрена реализация национального проекта Обеспечение устойчивого сокращения непригодного для проживания жилищного фонда", в котором предусмотрено 206,5 млн</w:t>
      </w:r>
      <w:proofErr w:type="gramStart"/>
      <w:r w:rsidRPr="00E0032C">
        <w:rPr>
          <w:rFonts w:ascii="Times New Roman" w:eastAsia="Times New Roman" w:hAnsi="Times New Roman"/>
          <w:sz w:val="24"/>
          <w:szCs w:val="24"/>
          <w:lang w:eastAsia="ru-RU"/>
        </w:rPr>
        <w:t>.р</w:t>
      </w:r>
      <w:proofErr w:type="gramEnd"/>
      <w:r w:rsidRPr="00E0032C">
        <w:rPr>
          <w:rFonts w:ascii="Times New Roman" w:eastAsia="Times New Roman" w:hAnsi="Times New Roman"/>
          <w:sz w:val="24"/>
          <w:szCs w:val="24"/>
          <w:lang w:eastAsia="ru-RU"/>
        </w:rPr>
        <w:t xml:space="preserve">ублей (в т.ч. ФБ-168,7 млн.рублей, РБ-3,4 млн.рублей, МБ-34,4 млн.рублей).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Реализация ряда вышеуказанных проектов планируется в рамках создания территории опережающего социально-экономического развития «Белебей».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В 2019 году завершено строительство детского сада на 150 мест по ул</w:t>
      </w:r>
      <w:proofErr w:type="gramStart"/>
      <w:r w:rsidRPr="00E0032C">
        <w:rPr>
          <w:rFonts w:ascii="Times New Roman" w:eastAsia="Times New Roman" w:hAnsi="Times New Roman"/>
          <w:sz w:val="24"/>
          <w:szCs w:val="24"/>
          <w:lang w:eastAsia="ru-RU"/>
        </w:rPr>
        <w:t>.Г</w:t>
      </w:r>
      <w:proofErr w:type="gramEnd"/>
      <w:r w:rsidRPr="00E0032C">
        <w:rPr>
          <w:rFonts w:ascii="Times New Roman" w:eastAsia="Times New Roman" w:hAnsi="Times New Roman"/>
          <w:sz w:val="24"/>
          <w:szCs w:val="24"/>
          <w:lang w:eastAsia="ru-RU"/>
        </w:rPr>
        <w:t xml:space="preserve">орохова в г.Белебей, в 2020 году завершен капитальный ремонт родильного дома в г.Белебей.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В среднесрочный период за счет бюджетных средств, частных инвестиций, а также сре</w:t>
      </w:r>
      <w:proofErr w:type="gramStart"/>
      <w:r w:rsidRPr="00E0032C">
        <w:rPr>
          <w:rFonts w:ascii="Times New Roman" w:eastAsia="Times New Roman" w:hAnsi="Times New Roman"/>
          <w:sz w:val="24"/>
          <w:szCs w:val="24"/>
          <w:lang w:eastAsia="ru-RU"/>
        </w:rPr>
        <w:t>дств бл</w:t>
      </w:r>
      <w:proofErr w:type="gramEnd"/>
      <w:r w:rsidRPr="00E0032C">
        <w:rPr>
          <w:rFonts w:ascii="Times New Roman" w:eastAsia="Times New Roman" w:hAnsi="Times New Roman"/>
          <w:sz w:val="24"/>
          <w:szCs w:val="24"/>
          <w:lang w:eastAsia="ru-RU"/>
        </w:rPr>
        <w:t>аготворительных фондов планируется строительство, реконструкция и модернизация следующих объектов:</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сети га</w:t>
      </w:r>
      <w:proofErr w:type="gramStart"/>
      <w:r w:rsidRPr="00E0032C">
        <w:rPr>
          <w:rFonts w:ascii="Times New Roman" w:eastAsia="Times New Roman" w:hAnsi="Times New Roman"/>
          <w:sz w:val="24"/>
          <w:szCs w:val="24"/>
          <w:lang w:eastAsia="ru-RU"/>
        </w:rPr>
        <w:t>з-</w:t>
      </w:r>
      <w:proofErr w:type="gramEnd"/>
      <w:r w:rsidRPr="00E0032C">
        <w:rPr>
          <w:rFonts w:ascii="Times New Roman" w:eastAsia="Times New Roman" w:hAnsi="Times New Roman"/>
          <w:sz w:val="24"/>
          <w:szCs w:val="24"/>
          <w:lang w:eastAsia="ru-RU"/>
        </w:rPr>
        <w:t xml:space="preserve">, </w:t>
      </w:r>
      <w:proofErr w:type="spellStart"/>
      <w:r w:rsidRPr="00E0032C">
        <w:rPr>
          <w:rFonts w:ascii="Times New Roman" w:eastAsia="Times New Roman" w:hAnsi="Times New Roman"/>
          <w:sz w:val="24"/>
          <w:szCs w:val="24"/>
          <w:lang w:eastAsia="ru-RU"/>
        </w:rPr>
        <w:t>электро</w:t>
      </w:r>
      <w:proofErr w:type="spellEnd"/>
      <w:r w:rsidRPr="00E0032C">
        <w:rPr>
          <w:rFonts w:ascii="Times New Roman" w:eastAsia="Times New Roman" w:hAnsi="Times New Roman"/>
          <w:sz w:val="24"/>
          <w:szCs w:val="24"/>
          <w:lang w:eastAsia="ru-RU"/>
        </w:rPr>
        <w:t>-, водоснабжения и водоотведения;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торговый комплекс «</w:t>
      </w:r>
      <w:proofErr w:type="spellStart"/>
      <w:r w:rsidRPr="00E0032C">
        <w:rPr>
          <w:rFonts w:ascii="Times New Roman" w:eastAsia="Times New Roman" w:hAnsi="Times New Roman"/>
          <w:sz w:val="24"/>
          <w:szCs w:val="24"/>
          <w:lang w:eastAsia="ru-RU"/>
        </w:rPr>
        <w:t>Паркхаус</w:t>
      </w:r>
      <w:proofErr w:type="spellEnd"/>
      <w:r w:rsidRPr="00E0032C">
        <w:rPr>
          <w:rFonts w:ascii="Times New Roman" w:eastAsia="Times New Roman" w:hAnsi="Times New Roman"/>
          <w:sz w:val="24"/>
          <w:szCs w:val="24"/>
          <w:lang w:eastAsia="ru-RU"/>
        </w:rPr>
        <w:t>» в 26 микрорайоне в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строительство школы на 375 мест в с</w:t>
      </w:r>
      <w:proofErr w:type="gramStart"/>
      <w:r w:rsidRPr="00E0032C">
        <w:rPr>
          <w:rFonts w:ascii="Times New Roman" w:eastAsia="Times New Roman" w:hAnsi="Times New Roman"/>
          <w:sz w:val="24"/>
          <w:szCs w:val="24"/>
          <w:lang w:eastAsia="ru-RU"/>
        </w:rPr>
        <w:t>.А</w:t>
      </w:r>
      <w:proofErr w:type="gramEnd"/>
      <w:r w:rsidRPr="00E0032C">
        <w:rPr>
          <w:rFonts w:ascii="Times New Roman" w:eastAsia="Times New Roman" w:hAnsi="Times New Roman"/>
          <w:sz w:val="24"/>
          <w:szCs w:val="24"/>
          <w:lang w:eastAsia="ru-RU"/>
        </w:rPr>
        <w:t xml:space="preserve">ксаково </w:t>
      </w:r>
      <w:proofErr w:type="spellStart"/>
      <w:r w:rsidRPr="00E0032C">
        <w:rPr>
          <w:rFonts w:ascii="Times New Roman" w:eastAsia="Times New Roman" w:hAnsi="Times New Roman"/>
          <w:sz w:val="24"/>
          <w:szCs w:val="24"/>
          <w:lang w:eastAsia="ru-RU"/>
        </w:rPr>
        <w:t>Белебеевского</w:t>
      </w:r>
      <w:proofErr w:type="spellEnd"/>
      <w:r w:rsidRPr="00E0032C">
        <w:rPr>
          <w:rFonts w:ascii="Times New Roman" w:eastAsia="Times New Roman" w:hAnsi="Times New Roman"/>
          <w:sz w:val="24"/>
          <w:szCs w:val="24"/>
          <w:lang w:eastAsia="ru-RU"/>
        </w:rPr>
        <w:t xml:space="preserve"> района;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комплекс сооружений водозабора для водоснабжения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елебей на базе источника хвостовой части Комсомольского пруда («</w:t>
      </w:r>
      <w:proofErr w:type="spellStart"/>
      <w:r w:rsidRPr="00E0032C">
        <w:rPr>
          <w:rFonts w:ascii="Times New Roman" w:eastAsia="Times New Roman" w:hAnsi="Times New Roman"/>
          <w:sz w:val="24"/>
          <w:szCs w:val="24"/>
          <w:lang w:eastAsia="ru-RU"/>
        </w:rPr>
        <w:t>Усень</w:t>
      </w:r>
      <w:proofErr w:type="spellEnd"/>
      <w:r w:rsidRPr="00E0032C">
        <w:rPr>
          <w:rFonts w:ascii="Times New Roman" w:eastAsia="Times New Roman" w:hAnsi="Times New Roman"/>
          <w:sz w:val="24"/>
          <w:szCs w:val="24"/>
          <w:lang w:eastAsia="ru-RU"/>
        </w:rPr>
        <w:t>»);</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инженерные коммуникации в микрорайонах г</w:t>
      </w:r>
      <w:proofErr w:type="gramStart"/>
      <w:r w:rsidRPr="00E0032C">
        <w:rPr>
          <w:rFonts w:ascii="Times New Roman" w:eastAsia="Times New Roman" w:hAnsi="Times New Roman"/>
          <w:sz w:val="24"/>
          <w:szCs w:val="24"/>
          <w:lang w:eastAsia="ru-RU"/>
        </w:rPr>
        <w:t>.Б</w:t>
      </w:r>
      <w:proofErr w:type="gramEnd"/>
      <w:r w:rsidRPr="00E0032C">
        <w:rPr>
          <w:rFonts w:ascii="Times New Roman" w:eastAsia="Times New Roman" w:hAnsi="Times New Roman"/>
          <w:sz w:val="24"/>
          <w:szCs w:val="24"/>
          <w:lang w:eastAsia="ru-RU"/>
        </w:rPr>
        <w:t>елебея;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Также источником финансирования инвестиций по району являются «прочие», т.е. привлеченные инвестиции – 9,1% или 167,99 млн. рублей.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Доля собственных сре</w:t>
      </w:r>
      <w:proofErr w:type="gramStart"/>
      <w:r w:rsidRPr="00E0032C">
        <w:rPr>
          <w:rFonts w:ascii="Times New Roman" w:eastAsia="Times New Roman" w:hAnsi="Times New Roman"/>
          <w:sz w:val="24"/>
          <w:szCs w:val="24"/>
          <w:lang w:eastAsia="ru-RU"/>
        </w:rPr>
        <w:t>дств пр</w:t>
      </w:r>
      <w:proofErr w:type="gramEnd"/>
      <w:r w:rsidRPr="00E0032C">
        <w:rPr>
          <w:rFonts w:ascii="Times New Roman" w:eastAsia="Times New Roman" w:hAnsi="Times New Roman"/>
          <w:sz w:val="24"/>
          <w:szCs w:val="24"/>
          <w:lang w:eastAsia="ru-RU"/>
        </w:rPr>
        <w:t>едприятий и организаций муниципального района в общем объеме инвестиций в 2019 году составила 37%. Финансирование мероприятий в основном осуществляется за счет полученной прибыли и амортизационных отчислений.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За 3 квартал 2020 года индекс физического объема  инвестиций в основной капитал, в сопоставимых ценах к аналогичному периоду предыдущего года составил 113,0%.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lastRenderedPageBreak/>
        <w:t>Рост инвестиций в основной капитал произошёл по следующим причинам:</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АО «Белебеевский Ордена «Знак Почёта молочный комбинат» продолжает реализацию инвестиционного проекта «Комплексное техническое перевооружение мощностей АО «Белебеевский молочный комбинат» для обеспечения переработки молока в объёме 196 тыс. тонн в год»;</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 ООО «Северная Нива Башкирия» продолжает реализацию инвестиционного проекта «Строительство двух животноводческих комплексов молочного направления </w:t>
      </w:r>
      <w:proofErr w:type="spellStart"/>
      <w:r w:rsidRPr="00E0032C">
        <w:rPr>
          <w:rFonts w:ascii="Times New Roman" w:eastAsia="Times New Roman" w:hAnsi="Times New Roman"/>
          <w:sz w:val="24"/>
          <w:szCs w:val="24"/>
          <w:lang w:eastAsia="ru-RU"/>
        </w:rPr>
        <w:t>Аделькино</w:t>
      </w:r>
      <w:proofErr w:type="spellEnd"/>
      <w:r w:rsidRPr="00E0032C">
        <w:rPr>
          <w:rFonts w:ascii="Times New Roman" w:eastAsia="Times New Roman" w:hAnsi="Times New Roman"/>
          <w:sz w:val="24"/>
          <w:szCs w:val="24"/>
          <w:lang w:eastAsia="ru-RU"/>
        </w:rPr>
        <w:t xml:space="preserve"> и Русская Швейцария»;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ООО «Белебеевский завод «</w:t>
      </w:r>
      <w:proofErr w:type="spellStart"/>
      <w:r w:rsidRPr="00E0032C">
        <w:rPr>
          <w:rFonts w:ascii="Times New Roman" w:eastAsia="Times New Roman" w:hAnsi="Times New Roman"/>
          <w:sz w:val="24"/>
          <w:szCs w:val="24"/>
          <w:lang w:eastAsia="ru-RU"/>
        </w:rPr>
        <w:t>Автокомплект</w:t>
      </w:r>
      <w:proofErr w:type="spellEnd"/>
      <w:r w:rsidRPr="00E0032C">
        <w:rPr>
          <w:rFonts w:ascii="Times New Roman" w:eastAsia="Times New Roman" w:hAnsi="Times New Roman"/>
          <w:sz w:val="24"/>
          <w:szCs w:val="24"/>
          <w:lang w:eastAsia="ru-RU"/>
        </w:rPr>
        <w:t xml:space="preserve">» в рамках поддержки ФРП РБ начал реализацию инвестиционного проекта «Модернизация производства </w:t>
      </w:r>
      <w:proofErr w:type="spellStart"/>
      <w:r w:rsidRPr="00E0032C">
        <w:rPr>
          <w:rFonts w:ascii="Times New Roman" w:eastAsia="Times New Roman" w:hAnsi="Times New Roman"/>
          <w:sz w:val="24"/>
          <w:szCs w:val="24"/>
          <w:lang w:eastAsia="ru-RU"/>
        </w:rPr>
        <w:t>автокомпонентов</w:t>
      </w:r>
      <w:proofErr w:type="spellEnd"/>
      <w:r w:rsidRPr="00E0032C">
        <w:rPr>
          <w:rFonts w:ascii="Times New Roman" w:eastAsia="Times New Roman" w:hAnsi="Times New Roman"/>
          <w:sz w:val="24"/>
          <w:szCs w:val="24"/>
          <w:lang w:eastAsia="ru-RU"/>
        </w:rPr>
        <w:t xml:space="preserve"> ходовой части и рулевого управления легкового автомобиля».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Не смотря </w:t>
      </w:r>
      <w:proofErr w:type="gramStart"/>
      <w:r w:rsidRPr="00E0032C">
        <w:rPr>
          <w:rFonts w:ascii="Times New Roman" w:eastAsia="Times New Roman" w:hAnsi="Times New Roman"/>
          <w:sz w:val="24"/>
          <w:szCs w:val="24"/>
          <w:lang w:eastAsia="ru-RU"/>
        </w:rPr>
        <w:t>на</w:t>
      </w:r>
      <w:proofErr w:type="gramEnd"/>
      <w:r w:rsidRPr="00E0032C">
        <w:rPr>
          <w:rFonts w:ascii="Times New Roman" w:eastAsia="Times New Roman" w:hAnsi="Times New Roman"/>
          <w:sz w:val="24"/>
          <w:szCs w:val="24"/>
          <w:lang w:eastAsia="ru-RU"/>
        </w:rPr>
        <w:t xml:space="preserve"> </w:t>
      </w:r>
      <w:proofErr w:type="gramStart"/>
      <w:r w:rsidRPr="00E0032C">
        <w:rPr>
          <w:rFonts w:ascii="Times New Roman" w:eastAsia="Times New Roman" w:hAnsi="Times New Roman"/>
          <w:sz w:val="24"/>
          <w:szCs w:val="24"/>
          <w:lang w:eastAsia="ru-RU"/>
        </w:rPr>
        <w:t>сложившеюся</w:t>
      </w:r>
      <w:proofErr w:type="gramEnd"/>
      <w:r w:rsidRPr="00E0032C">
        <w:rPr>
          <w:rFonts w:ascii="Times New Roman" w:eastAsia="Times New Roman" w:hAnsi="Times New Roman"/>
          <w:sz w:val="24"/>
          <w:szCs w:val="24"/>
          <w:lang w:eastAsia="ru-RU"/>
        </w:rPr>
        <w:t xml:space="preserve"> ситуацию связанной с пандемией </w:t>
      </w:r>
      <w:proofErr w:type="spellStart"/>
      <w:r w:rsidRPr="00E0032C">
        <w:rPr>
          <w:rFonts w:ascii="Times New Roman" w:eastAsia="Times New Roman" w:hAnsi="Times New Roman"/>
          <w:sz w:val="24"/>
          <w:szCs w:val="24"/>
          <w:lang w:eastAsia="ru-RU"/>
        </w:rPr>
        <w:t>коронавируса</w:t>
      </w:r>
      <w:proofErr w:type="spellEnd"/>
      <w:r w:rsidRPr="00E0032C">
        <w:rPr>
          <w:rFonts w:ascii="Times New Roman" w:eastAsia="Times New Roman" w:hAnsi="Times New Roman"/>
          <w:sz w:val="24"/>
          <w:szCs w:val="24"/>
          <w:lang w:eastAsia="ru-RU"/>
        </w:rPr>
        <w:t xml:space="preserve"> </w:t>
      </w:r>
      <w:r w:rsidRPr="00E0032C">
        <w:rPr>
          <w:rFonts w:ascii="Times New Roman" w:eastAsia="Times New Roman" w:hAnsi="Times New Roman"/>
          <w:sz w:val="24"/>
          <w:szCs w:val="24"/>
          <w:lang w:val="en-US" w:eastAsia="ru-RU"/>
        </w:rPr>
        <w:t>COVID</w:t>
      </w:r>
      <w:r w:rsidRPr="00E0032C">
        <w:rPr>
          <w:rFonts w:ascii="Times New Roman" w:eastAsia="Times New Roman" w:hAnsi="Times New Roman"/>
          <w:sz w:val="24"/>
          <w:szCs w:val="24"/>
          <w:lang w:eastAsia="ru-RU"/>
        </w:rPr>
        <w:t xml:space="preserve"> – 2019 на конец 2020 года увеличение инвестиций в основной капитал ожидается на 3,48%, за счет привлеченных средств, которые направлены на реализацию следующих инвестиционных проектов:</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«Комплексное техническое перевооружение мощностей АО «Белебеевский молочный комбинат» для обеспечения переработки молока в объёме 196 тыс. тонн в год»;</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«Животноводческая площадка по выращиванию и откорму свиней»;</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«Свиноводческий комплекс - 1»;</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«Мясоперерабатывающий комбинат»;</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 «Строительство двух животноводческих комплексов молочного направления </w:t>
      </w:r>
      <w:proofErr w:type="spellStart"/>
      <w:r w:rsidRPr="00E0032C">
        <w:rPr>
          <w:rFonts w:ascii="Times New Roman" w:eastAsia="Times New Roman" w:hAnsi="Times New Roman"/>
          <w:sz w:val="24"/>
          <w:szCs w:val="24"/>
          <w:lang w:eastAsia="ru-RU"/>
        </w:rPr>
        <w:t>Аделькино</w:t>
      </w:r>
      <w:proofErr w:type="spellEnd"/>
      <w:r w:rsidRPr="00E0032C">
        <w:rPr>
          <w:rFonts w:ascii="Times New Roman" w:eastAsia="Times New Roman" w:hAnsi="Times New Roman"/>
          <w:sz w:val="24"/>
          <w:szCs w:val="24"/>
          <w:lang w:eastAsia="ru-RU"/>
        </w:rPr>
        <w:t xml:space="preserve"> и Русская Швейцария»;</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РАИП в 2020 году Министерством экономического развития и инвестиционной политике Республики Башкортостан не однократно пересматривался. В связи с этим бюджетные средства составили 38,31 млн. рублей или 1,91% всех инвестиций 2020 года. В том числе на федеральный бюджет приходится – 0,18%, на республиканский бюджет – 0,39% и местный бюджет – 1,34%, а также на кредиты банков – 303,29 млн. рублей это 15,1% всех инвестиций        2020 года.</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В 2021 году при базовом варианте ожидается увеличение объемов инвестиций в основной капитал по крупным и средним предприятиям на 1,9%, за счет привлеченных средств инициаторов инвестиционных проектов (инвесторов). В 2019 году предприятие  АО «Белебеевский ордена «Знак Почёта» молочный комбинат» в основной проект «Комплексное техническое перевооружение мощностей для обеспечения переработки молока в объеме 196 тыс. тонн в год» включил дополнительно проект «Создание цеха по производству мягких сыров». Завершение инвестиционных проектов планируется в 2021 году.</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Темп роста по инвестициям в основной капитал по крупным и средним предприятиям </w:t>
      </w:r>
      <w:proofErr w:type="spellStart"/>
      <w:r w:rsidRPr="00E0032C">
        <w:rPr>
          <w:rFonts w:ascii="Times New Roman" w:eastAsia="Times New Roman" w:hAnsi="Times New Roman"/>
          <w:sz w:val="24"/>
          <w:szCs w:val="24"/>
          <w:lang w:eastAsia="ru-RU"/>
        </w:rPr>
        <w:t>Белебеевского</w:t>
      </w:r>
      <w:proofErr w:type="spellEnd"/>
      <w:r w:rsidRPr="00E0032C">
        <w:rPr>
          <w:rFonts w:ascii="Times New Roman" w:eastAsia="Times New Roman" w:hAnsi="Times New Roman"/>
          <w:sz w:val="24"/>
          <w:szCs w:val="24"/>
          <w:lang w:eastAsia="ru-RU"/>
        </w:rPr>
        <w:t xml:space="preserve"> района в целом на период 2021 – 2023 годы сохранен и составил в среднем 101,73 % (по базовому варианту в ценах соответствующих лет по отношению к 2020 году увеличится - на 22,96%) за счет реализации вышеуказанных новых инвестиционных проектов. </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Большая доля мероприятий осуществляется за счет кредитных ресурсов банков, а также бюджетных средств, выданных на условиях </w:t>
      </w:r>
      <w:proofErr w:type="spellStart"/>
      <w:r w:rsidRPr="00E0032C">
        <w:rPr>
          <w:rFonts w:ascii="Times New Roman" w:eastAsia="Times New Roman" w:hAnsi="Times New Roman"/>
          <w:sz w:val="24"/>
          <w:szCs w:val="24"/>
          <w:lang w:eastAsia="ru-RU"/>
        </w:rPr>
        <w:t>софинансирования</w:t>
      </w:r>
      <w:proofErr w:type="spellEnd"/>
      <w:r w:rsidRPr="00E0032C">
        <w:rPr>
          <w:rFonts w:ascii="Times New Roman" w:eastAsia="Times New Roman" w:hAnsi="Times New Roman"/>
          <w:sz w:val="24"/>
          <w:szCs w:val="24"/>
          <w:lang w:eastAsia="ru-RU"/>
        </w:rPr>
        <w:t xml:space="preserve"> из федерального, республиканского и местного бюджетов.</w:t>
      </w:r>
    </w:p>
    <w:p w:rsidR="00E0032C" w:rsidRPr="00E0032C" w:rsidRDefault="00E0032C" w:rsidP="00E0032C">
      <w:pPr>
        <w:pStyle w:val="a6"/>
        <w:spacing w:after="0" w:line="240" w:lineRule="auto"/>
        <w:ind w:left="0" w:firstLine="600"/>
        <w:jc w:val="both"/>
        <w:rPr>
          <w:rFonts w:ascii="Times New Roman" w:eastAsia="Times New Roman" w:hAnsi="Times New Roman"/>
          <w:sz w:val="24"/>
          <w:szCs w:val="24"/>
          <w:lang w:eastAsia="ru-RU"/>
        </w:rPr>
      </w:pPr>
      <w:r w:rsidRPr="00E0032C">
        <w:rPr>
          <w:rFonts w:ascii="Times New Roman" w:eastAsia="Times New Roman" w:hAnsi="Times New Roman"/>
          <w:sz w:val="24"/>
          <w:szCs w:val="24"/>
          <w:lang w:eastAsia="ru-RU"/>
        </w:rPr>
        <w:t xml:space="preserve">При разработке (уточнении) прогноза учитывались данные предприятий и организаций муниципального района, мероприятия федеральных,  республиканских и муниципальных программ, частично данные новых инвестиционных проектов, а также общая экономическая  ситуация. </w:t>
      </w:r>
    </w:p>
    <w:p w:rsidR="00B8460A" w:rsidRPr="00FF05BF" w:rsidRDefault="00B8460A" w:rsidP="00AA45FA">
      <w:pPr>
        <w:pStyle w:val="a4"/>
        <w:ind w:firstLine="709"/>
        <w:jc w:val="center"/>
        <w:rPr>
          <w:sz w:val="24"/>
          <w:szCs w:val="26"/>
        </w:rPr>
      </w:pPr>
    </w:p>
    <w:p w:rsidR="00B8460A" w:rsidRPr="00E0032C" w:rsidRDefault="00195EDD" w:rsidP="00AA45FA">
      <w:pPr>
        <w:pStyle w:val="a4"/>
        <w:ind w:firstLine="709"/>
        <w:jc w:val="center"/>
        <w:rPr>
          <w:color w:val="FF0000"/>
          <w:sz w:val="24"/>
          <w:szCs w:val="26"/>
        </w:rPr>
      </w:pPr>
      <w:r w:rsidRPr="00FF05BF">
        <w:rPr>
          <w:sz w:val="24"/>
          <w:szCs w:val="26"/>
        </w:rPr>
        <w:t>Потребительский рынок</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По состоянию на 01.01.2020г. на территории муниципального района Белебеевский район функционирует 876 предприятий торговли и питания. </w:t>
      </w:r>
      <w:proofErr w:type="gramStart"/>
      <w:r w:rsidRPr="00FF05BF">
        <w:rPr>
          <w:rFonts w:ascii="Times New Roman" w:eastAsia="Times New Roman" w:hAnsi="Times New Roman"/>
          <w:sz w:val="24"/>
          <w:szCs w:val="24"/>
          <w:lang w:eastAsia="ru-RU"/>
        </w:rPr>
        <w:t xml:space="preserve">Объем розничного товарооборота по муниципальному району за 2019г. составил 12892,2 млн. руб. или 102,2 % в сопоставимых </w:t>
      </w:r>
      <w:r w:rsidRPr="00FF05BF">
        <w:rPr>
          <w:rFonts w:ascii="Times New Roman" w:eastAsia="Times New Roman" w:hAnsi="Times New Roman"/>
          <w:sz w:val="24"/>
          <w:szCs w:val="24"/>
          <w:lang w:eastAsia="ru-RU"/>
        </w:rPr>
        <w:lastRenderedPageBreak/>
        <w:t>ценах к уровню 2018г.</w:t>
      </w:r>
      <w:proofErr w:type="gramEnd"/>
      <w:r w:rsidRPr="00FF05BF">
        <w:rPr>
          <w:rFonts w:ascii="Times New Roman" w:eastAsia="Times New Roman" w:hAnsi="Times New Roman"/>
          <w:sz w:val="24"/>
          <w:szCs w:val="24"/>
          <w:lang w:eastAsia="ru-RU"/>
        </w:rPr>
        <w:t xml:space="preserve"> Оборот предприятий общественного питания – 382,06 млн. руб. или 100,9% в сопоставимых ценах к уровню 2018 года.</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Экономическая ситуация на потребительском рынке характеризуется сбалансированностью спроса и предложения товаров. Инфраструктура сферы торговли продолжает развиваться, строятся новые объекты, происходит модернизация </w:t>
      </w:r>
      <w:proofErr w:type="gramStart"/>
      <w:r w:rsidRPr="00FF05BF">
        <w:rPr>
          <w:rFonts w:ascii="Times New Roman" w:eastAsia="Times New Roman" w:hAnsi="Times New Roman"/>
          <w:sz w:val="24"/>
          <w:szCs w:val="24"/>
          <w:lang w:eastAsia="ru-RU"/>
        </w:rPr>
        <w:t>существующих</w:t>
      </w:r>
      <w:proofErr w:type="gramEnd"/>
      <w:r w:rsidRPr="00FF05BF">
        <w:rPr>
          <w:rFonts w:ascii="Times New Roman" w:eastAsia="Times New Roman" w:hAnsi="Times New Roman"/>
          <w:sz w:val="24"/>
          <w:szCs w:val="24"/>
          <w:lang w:eastAsia="ru-RU"/>
        </w:rPr>
        <w:t>. Так, по итогам 2019 года инвестиции в основной капитал по виду деятельности розничная торговля по муниципальному району составили 300,6 млн. руб. или 501 % к планируемым вложениям. Введено в эксплуатацию 4 новых объектов торговой отрасли. За счет открытия новых и модернизации действующих предприятий увеличение торговых площадей составило 7918 кв.м., создано 88 рабочих места. В результате, обеспеченность населения площадями торговых объектов по итогам года составила 790,6 кв. метров на 1000 человек населения, что на 60,7 % выше норматива. Тенденция к увеличению количества торговых предприятий ожидается и в дальнейшие годы.</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ab/>
        <w:t>На территории муниципалитета работают 3 сельскохозяйственных рынка, на которых организовано 467 торговых мест, из них не менее 60 % мест от общего числа предназначаются сельхозпроизводителям для реализации продукции собственного производства. Уровень использования торговых мест на рынках составляет около 58%. На потребительском рынке активно развивается сетевая торговля.</w:t>
      </w:r>
      <w:r w:rsidRPr="00FF05BF">
        <w:rPr>
          <w:rFonts w:ascii="Times New Roman" w:eastAsia="Times New Roman" w:hAnsi="Times New Roman"/>
          <w:sz w:val="24"/>
          <w:szCs w:val="24"/>
          <w:lang w:eastAsia="ru-RU"/>
        </w:rPr>
        <w:tab/>
        <w:t xml:space="preserve">Развитие крупных сетевых предприятий торговли положительно влияет на состояние потребительского рынка, удовлетворение растущего покупательского спроса, уровень культуры обслуживания населения. Несомненно, с приходом сетевых компаний существенно повысилось качество торгового обслуживания населения, значительно вырос уровень конкуренции на потребительском рынке.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ab/>
        <w:t xml:space="preserve">В торговой отрасли района продолжают совершенствоваться формы обслуживания покупателей, </w:t>
      </w:r>
      <w:proofErr w:type="gramStart"/>
      <w:r w:rsidRPr="00FF05BF">
        <w:rPr>
          <w:rFonts w:ascii="Times New Roman" w:eastAsia="Times New Roman" w:hAnsi="Times New Roman"/>
          <w:sz w:val="24"/>
          <w:szCs w:val="24"/>
          <w:lang w:eastAsia="ru-RU"/>
        </w:rPr>
        <w:t>расширяется количество и повышается</w:t>
      </w:r>
      <w:proofErr w:type="gramEnd"/>
      <w:r w:rsidRPr="00FF05BF">
        <w:rPr>
          <w:rFonts w:ascii="Times New Roman" w:eastAsia="Times New Roman" w:hAnsi="Times New Roman"/>
          <w:sz w:val="24"/>
          <w:szCs w:val="24"/>
          <w:lang w:eastAsia="ru-RU"/>
        </w:rPr>
        <w:t xml:space="preserve"> качество предоставляемых населению дополнительных услуг.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ab/>
      </w:r>
      <w:proofErr w:type="gramStart"/>
      <w:r w:rsidRPr="00FF05BF">
        <w:rPr>
          <w:rFonts w:ascii="Times New Roman" w:eastAsia="Times New Roman" w:hAnsi="Times New Roman"/>
          <w:sz w:val="24"/>
          <w:szCs w:val="24"/>
          <w:lang w:eastAsia="ru-RU"/>
        </w:rPr>
        <w:t>Для оказания содействия в продвижении продукции товаропроизводителей, расширения каналов сбыта продукции сельскохозяйственных производителей на территории муниципального района определены места для размещения нестационарных сезонных объектов торговли, утвержденные Схемой размещения нестационарных торговых объектов (объектов по оказанию услуг), где 3 точки для размещения объектов общественного питания, 5 точек по реализации мяса, 45 точек по реализации плодоовощной продукции, 28 - по реализации прохладительных напитков на</w:t>
      </w:r>
      <w:proofErr w:type="gramEnd"/>
      <w:r w:rsidRPr="00FF05BF">
        <w:rPr>
          <w:rFonts w:ascii="Times New Roman" w:eastAsia="Times New Roman" w:hAnsi="Times New Roman"/>
          <w:sz w:val="24"/>
          <w:szCs w:val="24"/>
          <w:lang w:eastAsia="ru-RU"/>
        </w:rPr>
        <w:t xml:space="preserve"> розлив, 30 точек по реализации деревьев хвойных пород, 14 точек для реализации молока в розлив. Реализация молока в данных точках производится по сниженным ценам.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ab/>
        <w:t xml:space="preserve">Кроме того, для жителей города и района еженедельно на 4-х площадках проводятся ярмарки выходного дня с расширенной реализацией сельскохозяйственной продукции. В течение 2019 г. было проведено 74 сельскохозяйственные ярмарки с предоставлением более 200 торговых мест. В проводимых ярмарках приняли участие </w:t>
      </w:r>
      <w:proofErr w:type="spellStart"/>
      <w:r w:rsidRPr="00FF05BF">
        <w:rPr>
          <w:rFonts w:ascii="Times New Roman" w:eastAsia="Times New Roman" w:hAnsi="Times New Roman"/>
          <w:sz w:val="24"/>
          <w:szCs w:val="24"/>
          <w:lang w:eastAsia="ru-RU"/>
        </w:rPr>
        <w:t>товар</w:t>
      </w:r>
      <w:proofErr w:type="gramStart"/>
      <w:r w:rsidRPr="00FF05BF">
        <w:rPr>
          <w:rFonts w:ascii="Times New Roman" w:eastAsia="Times New Roman" w:hAnsi="Times New Roman"/>
          <w:sz w:val="24"/>
          <w:szCs w:val="24"/>
          <w:lang w:eastAsia="ru-RU"/>
        </w:rPr>
        <w:t>о</w:t>
      </w:r>
      <w:proofErr w:type="spellEnd"/>
      <w:r w:rsidRPr="00FF05BF">
        <w:rPr>
          <w:rFonts w:ascii="Times New Roman" w:eastAsia="Times New Roman" w:hAnsi="Times New Roman"/>
          <w:sz w:val="24"/>
          <w:szCs w:val="24"/>
          <w:lang w:eastAsia="ru-RU"/>
        </w:rPr>
        <w:t>-</w:t>
      </w:r>
      <w:proofErr w:type="gramEnd"/>
      <w:r w:rsidRPr="00FF05BF">
        <w:rPr>
          <w:rFonts w:ascii="Times New Roman" w:eastAsia="Times New Roman" w:hAnsi="Times New Roman"/>
          <w:sz w:val="24"/>
          <w:szCs w:val="24"/>
          <w:lang w:eastAsia="ru-RU"/>
        </w:rPr>
        <w:t xml:space="preserve"> и сельхозпроизводители, КФХ </w:t>
      </w:r>
      <w:proofErr w:type="spellStart"/>
      <w:r w:rsidRPr="00FF05BF">
        <w:rPr>
          <w:rFonts w:ascii="Times New Roman" w:eastAsia="Times New Roman" w:hAnsi="Times New Roman"/>
          <w:sz w:val="24"/>
          <w:szCs w:val="24"/>
          <w:lang w:eastAsia="ru-RU"/>
        </w:rPr>
        <w:t>Белебеевского</w:t>
      </w:r>
      <w:proofErr w:type="spellEnd"/>
      <w:r w:rsidRPr="00FF05BF">
        <w:rPr>
          <w:rFonts w:ascii="Times New Roman" w:eastAsia="Times New Roman" w:hAnsi="Times New Roman"/>
          <w:sz w:val="24"/>
          <w:szCs w:val="24"/>
          <w:lang w:eastAsia="ru-RU"/>
        </w:rPr>
        <w:t xml:space="preserve"> и соседних районов.</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Планируется, что данная тенденция сохранится и в последующие годы: местные и республиканские товаропроизводители будут не только стабильно работать, но  и расширять ассортимент выпускаемой продукции.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ab/>
        <w:t xml:space="preserve">Последующий рост товарооборота ожидается за счёт: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дальнейшего формирования торговой инфраструктуры муниципального района с учетом видов, типов торговых объектов, форм и способов торговли, потребностей населения;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повышения социальной направленности развития сферы торговли и общественного питания;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повышения экономической доступности товаров для населения, в том числе через увеличение доли продукции местных производителей, а также расширение каналов их реализации;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продолжения работы по повышению технического уровня предприятий торговли и общественного питания; строительства новых, реконструкции и модернизации действующих </w:t>
      </w:r>
      <w:r w:rsidRPr="00FF05BF">
        <w:rPr>
          <w:rFonts w:ascii="Times New Roman" w:eastAsia="Times New Roman" w:hAnsi="Times New Roman"/>
          <w:sz w:val="24"/>
          <w:szCs w:val="24"/>
          <w:lang w:eastAsia="ru-RU"/>
        </w:rPr>
        <w:lastRenderedPageBreak/>
        <w:t>объектов отрасли в соответствии  требованиями нормативных документов и научно-техническими достижениями, особенно в сельской местности;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повышения качества торгового обслуживания;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повышения роли оптовой торговли в организации рационального товароснабжения розничной торговли конкурентоспособными товарами широкого потребления, создания современной инфраструктуры оптовой торговли;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создания в жилых кварталах социально ориентированных предприятий, расположенных в радиусе пешеходной доступности и торгующих широким ассортиментом продовольственных и непродовольственных товаров;</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дальнейшего развития сети магазинов, торгующих по сниженным ценам (магазины </w:t>
      </w:r>
      <w:proofErr w:type="spellStart"/>
      <w:proofErr w:type="gramStart"/>
      <w:r w:rsidRPr="00FF05BF">
        <w:rPr>
          <w:rFonts w:ascii="Times New Roman" w:eastAsia="Times New Roman" w:hAnsi="Times New Roman"/>
          <w:sz w:val="24"/>
          <w:szCs w:val="24"/>
          <w:lang w:eastAsia="ru-RU"/>
        </w:rPr>
        <w:t>эконом-класса</w:t>
      </w:r>
      <w:proofErr w:type="spellEnd"/>
      <w:proofErr w:type="gramEnd"/>
      <w:r w:rsidRPr="00FF05BF">
        <w:rPr>
          <w:rFonts w:ascii="Times New Roman" w:eastAsia="Times New Roman" w:hAnsi="Times New Roman"/>
          <w:sz w:val="24"/>
          <w:szCs w:val="24"/>
          <w:lang w:eastAsia="ru-RU"/>
        </w:rPr>
        <w:t>);</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реализации инвестиционных проектов.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В рамках создания территории опережающего социально-экономического развития «Белебей» ТОСЭР резидентам ТОСЭР предоставлены налоговые и имущественные льготы, льготы по страховым взносам в негосударственные внебюджетные фонды, облегчённый порядок муниципального и государственного контроля. Эта преференция позволяет существенно улучшить социально-экономическое положение территории, повысить благосостояние горожан, уровень жизни населения.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Данные мероприятия позволят создать рабочие места, увеличить объем продаж товаров населению.</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Оборот стационарной торговой сети (вне рынка) будет повышаться за счет ввода новых торговых предприятий субъектами малого и среднего предпринимательства. В 2020 году в соответствии с перспективным планом развития торговой отрасли муниципального района планируется дальнейшее открытие новых предприятий торговли, в том числе большого формата.</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Второй вариант прогноза товарооборота (базовый) разработан из расчета на благоприятное развитие торговой отрасли за счет:</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привлечения инвестиционных ресурсов в развитие инфраструктуры, реконструкцию и строительство объектов торговли;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повышения платежеспособности населения в результате развития и расширения производственных видов деятельности;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расширения ассортимента и качества реализуемых товаров;</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применения гибкой ценовой политики (особенно на социально значимые товары), которое должно повлечь увеличение объемов продаж.</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В настоящее время развитие потребительского рынка находится под влиянием социально-экономической ситуации в стране в целом. Замедление роста реальных располагаемых денежных доходов населения, постепенное сжатие внутреннего спроса и падение покупательской активности, связанные с пандемией </w:t>
      </w:r>
      <w:proofErr w:type="spellStart"/>
      <w:r w:rsidRPr="00FF05BF">
        <w:rPr>
          <w:rFonts w:ascii="Times New Roman" w:eastAsia="Times New Roman" w:hAnsi="Times New Roman"/>
          <w:sz w:val="24"/>
          <w:szCs w:val="24"/>
          <w:lang w:eastAsia="ru-RU"/>
        </w:rPr>
        <w:t>коронавируса</w:t>
      </w:r>
      <w:proofErr w:type="spellEnd"/>
      <w:r w:rsidRPr="00FF05BF">
        <w:rPr>
          <w:rFonts w:ascii="Times New Roman" w:eastAsia="Times New Roman" w:hAnsi="Times New Roman"/>
          <w:sz w:val="24"/>
          <w:szCs w:val="24"/>
          <w:lang w:eastAsia="ru-RU"/>
        </w:rPr>
        <w:t>, ведут к ухудшению показателей развития потребительского рынка.</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Снижение платежеспособного спроса ведет к перераспределению покупательского приоритета в сторону приобретения продуктов питания и товаров первой необходимости.</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К причинам, ведущим к снижению темпа роста оборота розничной торговли, необходимо отнести и переключение населения на недорогие и доступные товары.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Вместе с тем ассортимент и уровень товарной насыщенности социально-значимых продуктов питания на потребительском рынке муниципального района сохраняется.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Стабилизация социальной обстановки и возобновление экономического роста, рост реальных доходов населения обеспечат в 2021 году рост объемов розничного товарооборота по базовому варианту развития на уровне 104,21%, в 2022 году – 102,9%, в 2023 году – 102,86%</w:t>
      </w:r>
      <w:r>
        <w:rPr>
          <w:rFonts w:ascii="Times New Roman" w:eastAsia="Times New Roman" w:hAnsi="Times New Roman"/>
          <w:sz w:val="24"/>
          <w:szCs w:val="24"/>
          <w:lang w:eastAsia="ru-RU"/>
        </w:rPr>
        <w:t>.</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При развитии экономики по целевому сценарию динамика потребительского спроса будет выше, чем по базовому варианту, что объясняется более быстрым восстановлением уровня реальных располагаемых доходов населения. При более благоприятном сочетании внешних и </w:t>
      </w:r>
      <w:r w:rsidRPr="00FF05BF">
        <w:rPr>
          <w:rFonts w:ascii="Times New Roman" w:eastAsia="Times New Roman" w:hAnsi="Times New Roman"/>
          <w:sz w:val="24"/>
          <w:szCs w:val="24"/>
          <w:lang w:eastAsia="ru-RU"/>
        </w:rPr>
        <w:lastRenderedPageBreak/>
        <w:t>внутренних условий развития экономики рост объемов розничного товарооборота  в 2021 году составит 106,21%, в 2022 году – 104,08%,  в 2023 году – 103,47%</w:t>
      </w:r>
      <w:r w:rsidR="00A62422">
        <w:rPr>
          <w:rFonts w:ascii="Times New Roman" w:eastAsia="Times New Roman" w:hAnsi="Times New Roman"/>
          <w:sz w:val="24"/>
          <w:szCs w:val="24"/>
          <w:lang w:eastAsia="ru-RU"/>
        </w:rPr>
        <w:t>.</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Замедление инфляции, восстановление внутреннего спроса и покупательской активности привели к постепенному улучшению показателей развития общественного питания.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Оборот общественного питания за 2019 год составил 382,06млн. руб. или 100,9% к уровню прошлого года.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По прогнозным данным в 2020 году оборот общественного питания составит 300,0 млн. руб. или 78,52% к 2019 году. Уменьшение товарооборота общественного питания связано с вынужденными мерами – режимом самоизоляции граждан и приостановлением деятельности предприятий общественного питания, принятыми Указом Главы Республики Башкортостан  от 18.03.2020г.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FF05BF">
        <w:rPr>
          <w:rFonts w:ascii="Times New Roman" w:eastAsia="Times New Roman" w:hAnsi="Times New Roman"/>
          <w:sz w:val="24"/>
          <w:szCs w:val="24"/>
          <w:lang w:eastAsia="ru-RU"/>
        </w:rPr>
        <w:t>коронавирусной</w:t>
      </w:r>
      <w:proofErr w:type="spellEnd"/>
      <w:r w:rsidRPr="00FF05BF">
        <w:rPr>
          <w:rFonts w:ascii="Times New Roman" w:eastAsia="Times New Roman" w:hAnsi="Times New Roman"/>
          <w:sz w:val="24"/>
          <w:szCs w:val="24"/>
          <w:lang w:eastAsia="ru-RU"/>
        </w:rPr>
        <w:t xml:space="preserve"> инфекции (2019-nCoV)».</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За счёт привлечения инвестиционных ресурсов в развитие инфраструктуры, реконструкцию и строительство объектов индустрии питания, повышения  платежеспособности населения, расширения ассортимента и качества реализуемых услуг, применения гибкой ценовой политики, ориентированной на различные социальные слои населения, обеспечения доступности услуг для всех категорий населения, расширения сети предприятий общественного питания; открытия новых предприятий, оказывающих услуги общественного питания населению, наращивания объёмов оказываемых услуг ожидается рост объемов  товарооборота  общественного  питания.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Данные мероприятия позволят достигнуть в 2021 году рост объемов оборота общественного питания по базовому варианту развития на 1,0%, в 2022 году – на 1,65%, в 2023 году – </w:t>
      </w:r>
      <w:proofErr w:type="gramStart"/>
      <w:r w:rsidRPr="00FF05BF">
        <w:rPr>
          <w:rFonts w:ascii="Times New Roman" w:eastAsia="Times New Roman" w:hAnsi="Times New Roman"/>
          <w:sz w:val="24"/>
          <w:szCs w:val="24"/>
          <w:lang w:eastAsia="ru-RU"/>
        </w:rPr>
        <w:t>на</w:t>
      </w:r>
      <w:proofErr w:type="gramEnd"/>
      <w:r w:rsidRPr="00FF05BF">
        <w:rPr>
          <w:rFonts w:ascii="Times New Roman" w:eastAsia="Times New Roman" w:hAnsi="Times New Roman"/>
          <w:sz w:val="24"/>
          <w:szCs w:val="24"/>
          <w:lang w:eastAsia="ru-RU"/>
        </w:rPr>
        <w:t xml:space="preserve"> 1,95%</w:t>
      </w:r>
      <w:r w:rsidR="00A62422">
        <w:rPr>
          <w:rFonts w:ascii="Times New Roman" w:eastAsia="Times New Roman" w:hAnsi="Times New Roman"/>
          <w:sz w:val="24"/>
          <w:szCs w:val="24"/>
          <w:lang w:eastAsia="ru-RU"/>
        </w:rPr>
        <w:t>.</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Состояние рынка платных услуг определяется как платежным потребительским спросом населения муниципального района, так и спектром услуг, предлагаемых населению предприятиями, организациями, учреждениями, а также гражданами, занимающимися предпринимательской деятельностью без образования юридического лица. </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По данным оценки оборот платных услуг в 2020 году составит 3968,72 млн. руб., что  составит 83% к соответствующему периоду прошлого года. Данное снижение оборота связано с эпидемиологической обстановкой в целом по республике и муниципальном районе.</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Стабилизация  социальной и экономической обстановки, внедрение передовых технологий и современных форм обслуживания в сфере бытового обслуживания населения, предоставление дополнительных видов услуг, развития малого и среднего предпринимательства  в сфере рынка услуг, будут способствовать дальнейшему росту объемов реализации платных услуг.</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xml:space="preserve">  В целях развития субъектов экономики сферы потребительского рынка в районе осуществляется поддержка малого бизнеса в рамках муниципальной и республиканской программ развития и поддержки малого и среднего предпринимательства.</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Так, в 2019 году финансовая поддержка была оказана 26 субъектам малого предпринимательства на общую сумму 28,898 млн. руб. Фондом развития и поддержки малого и среднего предпринимательства выдано займов 3 предпринимателям на сумму 1,866 млн</w:t>
      </w:r>
      <w:proofErr w:type="gramStart"/>
      <w:r w:rsidRPr="00FF05BF">
        <w:rPr>
          <w:rFonts w:ascii="Times New Roman" w:eastAsia="Times New Roman" w:hAnsi="Times New Roman"/>
          <w:sz w:val="24"/>
          <w:szCs w:val="24"/>
          <w:lang w:eastAsia="ru-RU"/>
        </w:rPr>
        <w:t>.р</w:t>
      </w:r>
      <w:proofErr w:type="gramEnd"/>
      <w:r w:rsidRPr="00FF05BF">
        <w:rPr>
          <w:rFonts w:ascii="Times New Roman" w:eastAsia="Times New Roman" w:hAnsi="Times New Roman"/>
          <w:sz w:val="24"/>
          <w:szCs w:val="24"/>
          <w:lang w:eastAsia="ru-RU"/>
        </w:rPr>
        <w:t>уб.</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В целях оказания первоочередной поддержки социально значимым проектам, определены приоритетные направления развития малого и среднего предпринимательства в муниципальном районе, в которые входят такие виды услуг, как туристические (внутренний туризм), образовательные, медицинские, строительные и бытовые.</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Дальнейший рост объёмов реализации платных услуг населению планируется за счёт:</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расширения спектра предоставления качественных платных услуг и форм обслуживания, предлагаемых населению, ориентированных на различные социальные слои населения;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обеспечения доступности услуг для всех категорий населения;</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развития сферы бытовых услуг на селе;</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lastRenderedPageBreak/>
        <w:t>- открытия новых предприятий, оказывающих услуги населению;</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r w:rsidRPr="00FF05BF">
        <w:rPr>
          <w:rFonts w:ascii="Times New Roman" w:eastAsia="Times New Roman" w:hAnsi="Times New Roman"/>
          <w:sz w:val="24"/>
          <w:szCs w:val="24"/>
          <w:lang w:eastAsia="ru-RU"/>
        </w:rPr>
        <w:t>- повышения уровня качества и культуры обслуживания населения, наращивания объёмов оказываемых услуг.</w:t>
      </w:r>
    </w:p>
    <w:p w:rsidR="00FF05BF" w:rsidRPr="00FF05BF" w:rsidRDefault="00FF05BF" w:rsidP="00FF05BF">
      <w:pPr>
        <w:pStyle w:val="a6"/>
        <w:spacing w:after="0" w:line="240" w:lineRule="auto"/>
        <w:ind w:left="0" w:firstLine="600"/>
        <w:jc w:val="both"/>
        <w:rPr>
          <w:rFonts w:ascii="Times New Roman" w:eastAsia="Times New Roman" w:hAnsi="Times New Roman"/>
          <w:sz w:val="24"/>
          <w:szCs w:val="24"/>
          <w:lang w:eastAsia="ru-RU"/>
        </w:rPr>
      </w:pPr>
      <w:proofErr w:type="gramStart"/>
      <w:r w:rsidRPr="00FF05BF">
        <w:rPr>
          <w:rFonts w:ascii="Times New Roman" w:eastAsia="Times New Roman" w:hAnsi="Times New Roman"/>
          <w:sz w:val="24"/>
          <w:szCs w:val="24"/>
          <w:lang w:eastAsia="ru-RU"/>
        </w:rPr>
        <w:t>С учётом активно проводимых Правительством РФ и РБ мер в  области социальной политики, полученные денежные средства населением будут направляться на такие, в первую очередь,  необходимые виды услуг, как бытовые, медицинские, образовательные.</w:t>
      </w:r>
      <w:proofErr w:type="gramEnd"/>
      <w:r w:rsidRPr="00FF05BF">
        <w:rPr>
          <w:rFonts w:ascii="Times New Roman" w:eastAsia="Times New Roman" w:hAnsi="Times New Roman"/>
          <w:sz w:val="24"/>
          <w:szCs w:val="24"/>
          <w:lang w:eastAsia="ru-RU"/>
        </w:rPr>
        <w:t xml:space="preserve"> Таким образом, темп роста объемов платных услуг, оказанных населению в 2019 году, составил 100,5%  к уровню 2018 года. По прогнозным расчётам объем платных услуг населению в 2020 году к уровню 2019 года составит 83,01%, </w:t>
      </w:r>
      <w:r w:rsidR="00A62422">
        <w:rPr>
          <w:rFonts w:ascii="Times New Roman" w:eastAsia="Times New Roman" w:hAnsi="Times New Roman"/>
          <w:sz w:val="24"/>
          <w:szCs w:val="24"/>
          <w:lang w:eastAsia="ru-RU"/>
        </w:rPr>
        <w:t>с</w:t>
      </w:r>
      <w:r w:rsidRPr="00FF05BF">
        <w:rPr>
          <w:rFonts w:ascii="Times New Roman" w:eastAsia="Times New Roman" w:hAnsi="Times New Roman"/>
          <w:sz w:val="24"/>
          <w:szCs w:val="24"/>
          <w:lang w:eastAsia="ru-RU"/>
        </w:rPr>
        <w:t xml:space="preserve"> 2021 по 20</w:t>
      </w:r>
      <w:r w:rsidR="00A62422">
        <w:rPr>
          <w:rFonts w:ascii="Times New Roman" w:eastAsia="Times New Roman" w:hAnsi="Times New Roman"/>
          <w:sz w:val="24"/>
          <w:szCs w:val="24"/>
          <w:lang w:eastAsia="ru-RU"/>
        </w:rPr>
        <w:t>23</w:t>
      </w:r>
      <w:r w:rsidRPr="00FF05BF">
        <w:rPr>
          <w:rFonts w:ascii="Times New Roman" w:eastAsia="Times New Roman" w:hAnsi="Times New Roman"/>
          <w:sz w:val="24"/>
          <w:szCs w:val="24"/>
          <w:lang w:eastAsia="ru-RU"/>
        </w:rPr>
        <w:t xml:space="preserve"> год по консервативному варианту развития – 100,01</w:t>
      </w:r>
      <w:r w:rsidR="00A62422">
        <w:rPr>
          <w:rFonts w:ascii="Times New Roman" w:eastAsia="Times New Roman" w:hAnsi="Times New Roman"/>
          <w:sz w:val="24"/>
          <w:szCs w:val="24"/>
          <w:lang w:eastAsia="ru-RU"/>
        </w:rPr>
        <w:t>% - 100,25</w:t>
      </w:r>
      <w:r w:rsidRPr="00FF05BF">
        <w:rPr>
          <w:rFonts w:ascii="Times New Roman" w:eastAsia="Times New Roman" w:hAnsi="Times New Roman"/>
          <w:sz w:val="24"/>
          <w:szCs w:val="24"/>
          <w:lang w:eastAsia="ru-RU"/>
        </w:rPr>
        <w:t>%, по базовому -  соответственно 100,54% - 10</w:t>
      </w:r>
      <w:r w:rsidR="00A62422">
        <w:rPr>
          <w:rFonts w:ascii="Times New Roman" w:eastAsia="Times New Roman" w:hAnsi="Times New Roman"/>
          <w:sz w:val="24"/>
          <w:szCs w:val="24"/>
          <w:lang w:eastAsia="ru-RU"/>
        </w:rPr>
        <w:t>0,8</w:t>
      </w:r>
      <w:r w:rsidRPr="00FF05BF">
        <w:rPr>
          <w:rFonts w:ascii="Times New Roman" w:eastAsia="Times New Roman" w:hAnsi="Times New Roman"/>
          <w:sz w:val="24"/>
          <w:szCs w:val="24"/>
          <w:lang w:eastAsia="ru-RU"/>
        </w:rPr>
        <w:t>%, по целевому варианту – 101,04% - 10</w:t>
      </w:r>
      <w:r w:rsidR="00C9625C">
        <w:rPr>
          <w:rFonts w:ascii="Times New Roman" w:eastAsia="Times New Roman" w:hAnsi="Times New Roman"/>
          <w:sz w:val="24"/>
          <w:szCs w:val="24"/>
          <w:lang w:eastAsia="ru-RU"/>
        </w:rPr>
        <w:t>0,48</w:t>
      </w:r>
      <w:r w:rsidRPr="00FF05BF">
        <w:rPr>
          <w:rFonts w:ascii="Times New Roman" w:eastAsia="Times New Roman" w:hAnsi="Times New Roman"/>
          <w:sz w:val="24"/>
          <w:szCs w:val="24"/>
          <w:lang w:eastAsia="ru-RU"/>
        </w:rPr>
        <w:t>%.</w:t>
      </w:r>
    </w:p>
    <w:p w:rsidR="00B8460A" w:rsidRPr="00E0032C" w:rsidRDefault="00B8460A" w:rsidP="00B8460A">
      <w:pPr>
        <w:pStyle w:val="a6"/>
        <w:spacing w:after="0" w:line="240" w:lineRule="auto"/>
        <w:ind w:left="0" w:firstLine="709"/>
        <w:jc w:val="both"/>
        <w:rPr>
          <w:rFonts w:ascii="Times New Roman" w:eastAsia="Times New Roman" w:hAnsi="Times New Roman"/>
          <w:color w:val="FF0000"/>
          <w:sz w:val="24"/>
          <w:szCs w:val="24"/>
          <w:lang w:eastAsia="ru-RU"/>
        </w:rPr>
      </w:pPr>
    </w:p>
    <w:p w:rsidR="00B8460A" w:rsidRPr="00E0032C" w:rsidRDefault="00315CE3" w:rsidP="00AA45FA">
      <w:pPr>
        <w:pStyle w:val="a4"/>
        <w:ind w:firstLine="709"/>
        <w:jc w:val="center"/>
        <w:rPr>
          <w:color w:val="FF0000"/>
          <w:sz w:val="24"/>
        </w:rPr>
      </w:pPr>
      <w:r w:rsidRPr="00EE388A">
        <w:rPr>
          <w:sz w:val="24"/>
        </w:rPr>
        <w:t>Финансы</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proofErr w:type="gramStart"/>
      <w:r w:rsidRPr="00AA45FA">
        <w:rPr>
          <w:rFonts w:ascii="Times New Roman" w:eastAsia="Times New Roman" w:hAnsi="Times New Roman" w:cs="Times New Roman"/>
          <w:sz w:val="24"/>
          <w:szCs w:val="24"/>
        </w:rPr>
        <w:t>Проект доходной части консолидированного бюджета муниципального района Белебеевский район Республики Башкортостан на текущий финансовый 2020 год и на плановый период 2021-202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годов определен в соответствии со статьей 169 Бюджетного Кодекса Российской Федерации, Положением о бюджетном процессе, а также с учетом направленности налоговой политики на достижение наилучших значений темпов наращивания собственного экономического (налогового) потенциала муниципального района, обеспечения ориентации экономики на инвестиционную</w:t>
      </w:r>
      <w:proofErr w:type="gramEnd"/>
      <w:r w:rsidRPr="00AA45FA">
        <w:rPr>
          <w:rFonts w:ascii="Times New Roman" w:eastAsia="Times New Roman" w:hAnsi="Times New Roman" w:cs="Times New Roman"/>
          <w:sz w:val="24"/>
          <w:szCs w:val="24"/>
        </w:rPr>
        <w:t xml:space="preserve"> модель развития, стимулирование предпринимательской активности, улучшение качества жизни. Прогноз определен на основе динамики прогнозируемых показателей социально-экономического развития района с учетом динамики поступления доходов, изменения налогооблагаемой базы, реальной платежеспособности налогоплательщиков, изменений налогового и бюджетного законодательства, а также с учетом внешних факторов связанных с распространением новой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инфекции.</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proofErr w:type="gramStart"/>
      <w:r w:rsidRPr="00AA45FA">
        <w:rPr>
          <w:rFonts w:ascii="Times New Roman" w:eastAsia="Times New Roman" w:hAnsi="Times New Roman" w:cs="Times New Roman"/>
          <w:sz w:val="24"/>
          <w:szCs w:val="24"/>
        </w:rPr>
        <w:t xml:space="preserve">Общий объем доходов бюджета муниципального района Белебеевский район Республики Башкортостан определен на основе действующего законодательства с учетом ряда планируемых изменений, исходя из динамики поступления доходов, изменения налогооблагаемой базы, реальной платежеспособности налогоплательщиков, в связи с принятием мер по реализации Плана первоочередных мер по повышению устойчивости экономики Республики Башкортостан с учетом внешних факторов, в том числе связанных с распространением новой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инфекции</w:t>
      </w:r>
      <w:proofErr w:type="gramEnd"/>
      <w:r w:rsidRPr="00AA45FA">
        <w:rPr>
          <w:rFonts w:ascii="Times New Roman" w:eastAsia="Times New Roman" w:hAnsi="Times New Roman" w:cs="Times New Roman"/>
          <w:sz w:val="24"/>
          <w:szCs w:val="24"/>
        </w:rPr>
        <w:t xml:space="preserve"> (</w:t>
      </w:r>
      <w:proofErr w:type="gramStart"/>
      <w:r w:rsidRPr="00AA45FA">
        <w:rPr>
          <w:rFonts w:ascii="Times New Roman" w:eastAsia="Times New Roman" w:hAnsi="Times New Roman" w:cs="Times New Roman"/>
          <w:sz w:val="24"/>
          <w:szCs w:val="24"/>
        </w:rPr>
        <w:t>Распоряжение Главы РБ от 1 апреля 2020 г. N РГ-119) и из-за ухудшения макроэкономических показате</w:t>
      </w:r>
      <w:r>
        <w:rPr>
          <w:rFonts w:ascii="Times New Roman" w:eastAsia="Times New Roman" w:hAnsi="Times New Roman" w:cs="Times New Roman"/>
          <w:sz w:val="24"/>
          <w:szCs w:val="24"/>
        </w:rPr>
        <w:t xml:space="preserve">лей на 2020 год спрогнозирован в </w:t>
      </w:r>
      <w:r w:rsidRPr="00AA45FA">
        <w:rPr>
          <w:rFonts w:ascii="Times New Roman" w:eastAsia="Times New Roman" w:hAnsi="Times New Roman" w:cs="Times New Roman"/>
          <w:sz w:val="24"/>
          <w:szCs w:val="24"/>
        </w:rPr>
        <w:t xml:space="preserve">сумма </w:t>
      </w:r>
      <w:r>
        <w:rPr>
          <w:rFonts w:ascii="Times New Roman" w:eastAsia="Times New Roman" w:hAnsi="Times New Roman" w:cs="Times New Roman"/>
          <w:sz w:val="24"/>
          <w:szCs w:val="24"/>
        </w:rPr>
        <w:t>2181,338</w:t>
      </w:r>
      <w:r w:rsidRPr="00AA45FA">
        <w:rPr>
          <w:rFonts w:ascii="Times New Roman" w:eastAsia="Times New Roman" w:hAnsi="Times New Roman" w:cs="Times New Roman"/>
          <w:sz w:val="24"/>
          <w:szCs w:val="24"/>
        </w:rPr>
        <w:t xml:space="preserve"> млн. рублей.</w:t>
      </w:r>
      <w:proofErr w:type="gramEnd"/>
      <w:r w:rsidRPr="00AA45FA">
        <w:rPr>
          <w:rFonts w:ascii="Times New Roman" w:eastAsia="Times New Roman" w:hAnsi="Times New Roman" w:cs="Times New Roman"/>
          <w:sz w:val="24"/>
          <w:szCs w:val="24"/>
        </w:rPr>
        <w:t xml:space="preserve"> </w:t>
      </w:r>
      <w:proofErr w:type="gramStart"/>
      <w:r w:rsidRPr="00AA45FA">
        <w:rPr>
          <w:rFonts w:ascii="Times New Roman" w:eastAsia="Times New Roman" w:hAnsi="Times New Roman" w:cs="Times New Roman"/>
          <w:sz w:val="24"/>
          <w:szCs w:val="24"/>
        </w:rPr>
        <w:t xml:space="preserve">На 2021 год планируемый объем доходов составляет </w:t>
      </w:r>
      <w:r>
        <w:rPr>
          <w:rFonts w:ascii="Times New Roman" w:eastAsia="Times New Roman" w:hAnsi="Times New Roman" w:cs="Times New Roman"/>
          <w:sz w:val="24"/>
          <w:szCs w:val="24"/>
        </w:rPr>
        <w:t>2310,476</w:t>
      </w:r>
      <w:r w:rsidRPr="00AA45FA">
        <w:rPr>
          <w:rFonts w:ascii="Times New Roman" w:eastAsia="Times New Roman" w:hAnsi="Times New Roman" w:cs="Times New Roman"/>
          <w:sz w:val="24"/>
          <w:szCs w:val="24"/>
        </w:rPr>
        <w:t xml:space="preserve"> млн. рублей, с ростом к 2020 году на </w:t>
      </w:r>
      <w:r>
        <w:rPr>
          <w:rFonts w:ascii="Times New Roman" w:eastAsia="Times New Roman" w:hAnsi="Times New Roman" w:cs="Times New Roman"/>
          <w:sz w:val="24"/>
          <w:szCs w:val="24"/>
        </w:rPr>
        <w:t>129,138</w:t>
      </w:r>
      <w:r w:rsidRPr="00AA45FA">
        <w:rPr>
          <w:rFonts w:ascii="Times New Roman" w:eastAsia="Times New Roman" w:hAnsi="Times New Roman" w:cs="Times New Roman"/>
          <w:sz w:val="24"/>
          <w:szCs w:val="24"/>
        </w:rPr>
        <w:t xml:space="preserve"> млн. рублей или </w:t>
      </w:r>
      <w:r>
        <w:rPr>
          <w:rFonts w:ascii="Times New Roman" w:eastAsia="Times New Roman" w:hAnsi="Times New Roman" w:cs="Times New Roman"/>
          <w:sz w:val="24"/>
          <w:szCs w:val="24"/>
        </w:rPr>
        <w:t>5,9</w:t>
      </w:r>
      <w:r w:rsidRPr="00AA45FA">
        <w:rPr>
          <w:rFonts w:ascii="Times New Roman" w:eastAsia="Times New Roman" w:hAnsi="Times New Roman" w:cs="Times New Roman"/>
          <w:sz w:val="24"/>
          <w:szCs w:val="24"/>
        </w:rPr>
        <w:t xml:space="preserve"> процента, на 2022 год – </w:t>
      </w:r>
      <w:r>
        <w:rPr>
          <w:rFonts w:ascii="Times New Roman" w:eastAsia="Times New Roman" w:hAnsi="Times New Roman" w:cs="Times New Roman"/>
          <w:sz w:val="24"/>
          <w:szCs w:val="24"/>
        </w:rPr>
        <w:t>2348,093</w:t>
      </w:r>
      <w:r w:rsidRPr="00AA45FA">
        <w:rPr>
          <w:rFonts w:ascii="Times New Roman" w:eastAsia="Times New Roman" w:hAnsi="Times New Roman" w:cs="Times New Roman"/>
          <w:sz w:val="24"/>
          <w:szCs w:val="24"/>
        </w:rPr>
        <w:t xml:space="preserve">  млн. рублей с ростом к 2021 году на </w:t>
      </w:r>
      <w:r>
        <w:rPr>
          <w:rFonts w:ascii="Times New Roman" w:eastAsia="Times New Roman" w:hAnsi="Times New Roman" w:cs="Times New Roman"/>
          <w:sz w:val="24"/>
          <w:szCs w:val="24"/>
        </w:rPr>
        <w:t>37,617</w:t>
      </w:r>
      <w:r w:rsidRPr="00AA45FA">
        <w:rPr>
          <w:rFonts w:ascii="Times New Roman" w:eastAsia="Times New Roman" w:hAnsi="Times New Roman" w:cs="Times New Roman"/>
          <w:sz w:val="24"/>
          <w:szCs w:val="24"/>
        </w:rPr>
        <w:t xml:space="preserve"> млн. рублей или на </w:t>
      </w:r>
      <w:r>
        <w:rPr>
          <w:rFonts w:ascii="Times New Roman" w:eastAsia="Times New Roman" w:hAnsi="Times New Roman" w:cs="Times New Roman"/>
          <w:sz w:val="24"/>
          <w:szCs w:val="24"/>
        </w:rPr>
        <w:t>1,6</w:t>
      </w:r>
      <w:r w:rsidRPr="00AA45FA">
        <w:rPr>
          <w:rFonts w:ascii="Times New Roman" w:eastAsia="Times New Roman" w:hAnsi="Times New Roman" w:cs="Times New Roman"/>
          <w:sz w:val="24"/>
          <w:szCs w:val="24"/>
        </w:rPr>
        <w:t xml:space="preserve"> процента, на 2023 год - </w:t>
      </w:r>
      <w:r>
        <w:rPr>
          <w:rFonts w:ascii="Times New Roman" w:eastAsia="Times New Roman" w:hAnsi="Times New Roman" w:cs="Times New Roman"/>
          <w:sz w:val="24"/>
          <w:szCs w:val="24"/>
        </w:rPr>
        <w:t>2391,723</w:t>
      </w:r>
      <w:r w:rsidRPr="00AA45FA">
        <w:rPr>
          <w:rFonts w:ascii="Times New Roman" w:eastAsia="Times New Roman" w:hAnsi="Times New Roman" w:cs="Times New Roman"/>
          <w:sz w:val="24"/>
          <w:szCs w:val="24"/>
        </w:rPr>
        <w:t xml:space="preserve"> млн. рублей с ростом к 2022 году на 43,</w:t>
      </w:r>
      <w:r>
        <w:rPr>
          <w:rFonts w:ascii="Times New Roman" w:eastAsia="Times New Roman" w:hAnsi="Times New Roman" w:cs="Times New Roman"/>
          <w:sz w:val="24"/>
          <w:szCs w:val="24"/>
        </w:rPr>
        <w:t>63</w:t>
      </w:r>
      <w:r w:rsidRPr="00AA45FA">
        <w:rPr>
          <w:rFonts w:ascii="Times New Roman" w:eastAsia="Times New Roman" w:hAnsi="Times New Roman" w:cs="Times New Roman"/>
          <w:sz w:val="24"/>
          <w:szCs w:val="24"/>
        </w:rPr>
        <w:t xml:space="preserve"> млн. рублей или </w:t>
      </w:r>
      <w:r>
        <w:rPr>
          <w:rFonts w:ascii="Times New Roman" w:eastAsia="Times New Roman" w:hAnsi="Times New Roman" w:cs="Times New Roman"/>
          <w:sz w:val="24"/>
          <w:szCs w:val="24"/>
        </w:rPr>
        <w:t>1,9</w:t>
      </w:r>
      <w:r w:rsidRPr="00AA45FA">
        <w:rPr>
          <w:rFonts w:ascii="Times New Roman" w:eastAsia="Times New Roman" w:hAnsi="Times New Roman" w:cs="Times New Roman"/>
          <w:sz w:val="24"/>
          <w:szCs w:val="24"/>
        </w:rPr>
        <w:t xml:space="preserve"> процента</w:t>
      </w:r>
      <w:r>
        <w:rPr>
          <w:rFonts w:ascii="Times New Roman" w:eastAsia="Times New Roman" w:hAnsi="Times New Roman" w:cs="Times New Roman"/>
          <w:sz w:val="24"/>
          <w:szCs w:val="24"/>
        </w:rPr>
        <w:t>.</w:t>
      </w:r>
      <w:r w:rsidRPr="00AA45FA">
        <w:rPr>
          <w:rFonts w:ascii="Times New Roman" w:eastAsia="Times New Roman" w:hAnsi="Times New Roman" w:cs="Times New Roman"/>
          <w:sz w:val="24"/>
          <w:szCs w:val="24"/>
        </w:rPr>
        <w:t xml:space="preserve"> </w:t>
      </w:r>
      <w:proofErr w:type="gramEnd"/>
    </w:p>
    <w:p w:rsidR="00EE388A" w:rsidRPr="004100DD" w:rsidRDefault="00EE388A" w:rsidP="00EE388A">
      <w:pPr>
        <w:pStyle w:val="2"/>
        <w:spacing w:after="0" w:line="240" w:lineRule="auto"/>
        <w:ind w:left="0" w:firstLine="709"/>
        <w:jc w:val="both"/>
        <w:rPr>
          <w:b/>
          <w:color w:val="FF0000"/>
        </w:rPr>
      </w:pPr>
      <w:proofErr w:type="gramStart"/>
      <w:r w:rsidRPr="00AA45FA">
        <w:t xml:space="preserve">Налоговые и неналоговые доходы консолидированного бюджета муниципального района Белебеевский район Республики Башкортостан на 2020 год спрогнозированы в сумме </w:t>
      </w:r>
      <w:r>
        <w:t>649,138</w:t>
      </w:r>
      <w:r w:rsidRPr="00AA45FA">
        <w:t xml:space="preserve"> млн. рублей </w:t>
      </w:r>
      <w:r w:rsidRPr="004100DD">
        <w:t>со снижением поступлений налоговых и неналоговых доходов к утвержденному плану 2020 года с учетом выпадающих доходов на 70,958 млн. рублей или на 9,9 процента,</w:t>
      </w:r>
      <w:r w:rsidRPr="00AA45FA">
        <w:t xml:space="preserve"> на 2021 год рост поступлений налоговых и неналоговых доходов в сравнении с 2020 годом утвержден</w:t>
      </w:r>
      <w:proofErr w:type="gramEnd"/>
      <w:r w:rsidRPr="00AA45FA">
        <w:t xml:space="preserve"> </w:t>
      </w:r>
      <w:proofErr w:type="gramStart"/>
      <w:r w:rsidRPr="00AA45FA">
        <w:t xml:space="preserve">в сумме </w:t>
      </w:r>
      <w:r>
        <w:t>92,368</w:t>
      </w:r>
      <w:r w:rsidRPr="00AA45FA">
        <w:t xml:space="preserve"> млн. рублей или на </w:t>
      </w:r>
      <w:r>
        <w:t>14,2</w:t>
      </w:r>
      <w:r w:rsidRPr="00AA45FA">
        <w:t xml:space="preserve"> процента, на 2022 год рост поступлений налоговых и неналоговых доходов в сравнении с 2021 годом утвержден в сумме </w:t>
      </w:r>
      <w:r>
        <w:t>6,237</w:t>
      </w:r>
      <w:r w:rsidRPr="00AA45FA">
        <w:t xml:space="preserve"> млн. рублей или на </w:t>
      </w:r>
      <w:r>
        <w:t>0,8</w:t>
      </w:r>
      <w:r w:rsidRPr="00AA45FA">
        <w:t xml:space="preserve"> процента, на 2023 год рост поступлений налоговых и неналоговых доходов в сравнении с 2022 годом утвержден в сумме </w:t>
      </w:r>
      <w:r>
        <w:t>10,020</w:t>
      </w:r>
      <w:r w:rsidRPr="00AA45FA">
        <w:t xml:space="preserve"> м</w:t>
      </w:r>
      <w:r>
        <w:t>лн. рублей или на 2,1 процента.</w:t>
      </w:r>
      <w:proofErr w:type="gramEnd"/>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proofErr w:type="gramStart"/>
      <w:r w:rsidRPr="00AA45FA">
        <w:rPr>
          <w:rFonts w:ascii="Times New Roman" w:eastAsia="Times New Roman" w:hAnsi="Times New Roman" w:cs="Times New Roman"/>
          <w:sz w:val="24"/>
          <w:szCs w:val="24"/>
        </w:rPr>
        <w:t xml:space="preserve">В разрезе налоговых и неналоговых доходов прогнозирование на 2020 год к уровню прошлого года  осуществлялось исходя из фактического поступления данного вида дохода с учетом динамики роста за предыдущие три года, с учетом сформированной  базы для исчисления данного вида дохода, а также с учетом действующих на прогнозируемый год ставок отчислений от данных видов доходов и изменений налогового и бюджетного законодательства, </w:t>
      </w:r>
      <w:r w:rsidRPr="00AA45FA">
        <w:rPr>
          <w:rFonts w:ascii="Times New Roman" w:eastAsia="Times New Roman" w:hAnsi="Times New Roman" w:cs="Times New Roman"/>
          <w:sz w:val="24"/>
          <w:szCs w:val="24"/>
        </w:rPr>
        <w:lastRenderedPageBreak/>
        <w:t>а</w:t>
      </w:r>
      <w:proofErr w:type="gramEnd"/>
      <w:r w:rsidRPr="00AA45FA">
        <w:rPr>
          <w:rFonts w:ascii="Times New Roman" w:eastAsia="Times New Roman" w:hAnsi="Times New Roman" w:cs="Times New Roman"/>
          <w:sz w:val="24"/>
          <w:szCs w:val="24"/>
        </w:rPr>
        <w:t xml:space="preserve"> также с учетом проводимых мероприятий, связанных с распространением новой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инфекции.</w:t>
      </w:r>
    </w:p>
    <w:p w:rsidR="00EE388A" w:rsidRPr="00AA45FA" w:rsidRDefault="00EE388A" w:rsidP="00EE388A">
      <w:pPr>
        <w:pStyle w:val="2"/>
        <w:spacing w:after="0" w:line="240" w:lineRule="auto"/>
        <w:ind w:left="0" w:firstLine="709"/>
        <w:jc w:val="both"/>
      </w:pPr>
      <w:r w:rsidRPr="00AA45FA">
        <w:t>Основная часть (более 50 процентов) поступлений налоговых и неналоговых доходов консолидированного бюджета муниципального района Белебеевский район Республики Башкортостан сформирована за счет налога на доходы физических лиц (далее – НДФЛ), соответственно главным индикатором наполняемости бюджета являются поступления от НДФЛ.</w:t>
      </w:r>
    </w:p>
    <w:p w:rsidR="00EE388A" w:rsidRPr="00AA45FA" w:rsidRDefault="00EE388A" w:rsidP="00EE388A">
      <w:pPr>
        <w:pStyle w:val="2"/>
        <w:spacing w:after="0" w:line="240" w:lineRule="auto"/>
        <w:ind w:left="0" w:firstLine="709"/>
        <w:jc w:val="both"/>
      </w:pPr>
      <w:proofErr w:type="gramStart"/>
      <w:r w:rsidRPr="00AA45FA">
        <w:t xml:space="preserve">На основании Указа Главы Республики Башкортостан № УГ-111 от 18 марта 2020 года введен режим «Повышенная готовность» на территории Республики Башкортостан новой </w:t>
      </w:r>
      <w:proofErr w:type="spellStart"/>
      <w:r w:rsidRPr="00AA45FA">
        <w:t>коронавирусной</w:t>
      </w:r>
      <w:proofErr w:type="spellEnd"/>
      <w:r w:rsidRPr="00AA45FA">
        <w:t xml:space="preserve"> инфекции (COVID-2019), а также Главой Республики Башкортостан принято распоряжение от 01 апреля 2020 года № РГ-119 «О первоочередных мерах по повышению устойчивости экономики Республики Башкортостан с учетом внешних факторов, в том числе связанных с распространением новой </w:t>
      </w:r>
      <w:proofErr w:type="spellStart"/>
      <w:r w:rsidRPr="00AA45FA">
        <w:t>коронавирусной</w:t>
      </w:r>
      <w:proofErr w:type="spellEnd"/>
      <w:r w:rsidRPr="00AA45FA">
        <w:t xml:space="preserve"> инфекции», в</w:t>
      </w:r>
      <w:proofErr w:type="gramEnd"/>
      <w:r w:rsidRPr="00AA45FA">
        <w:t xml:space="preserve"> </w:t>
      </w:r>
      <w:proofErr w:type="gramStart"/>
      <w:r w:rsidRPr="00AA45FA">
        <w:t>целях</w:t>
      </w:r>
      <w:proofErr w:type="gramEnd"/>
      <w:r w:rsidRPr="00AA45FA">
        <w:t xml:space="preserve"> поддержки малого и среднего предпринимательства и секторов экономики, оказавшихся в зоне риска в связи с угрозой распространения новой </w:t>
      </w:r>
      <w:proofErr w:type="spellStart"/>
      <w:r w:rsidRPr="00AA45FA">
        <w:t>коронавирусной</w:t>
      </w:r>
      <w:proofErr w:type="spellEnd"/>
      <w:r w:rsidRPr="00AA45FA">
        <w:t xml:space="preserve"> инфекции приняты Решения Совета муниципального района Белебеевский район Республики Башкортостан:</w:t>
      </w:r>
    </w:p>
    <w:p w:rsidR="00EE388A" w:rsidRPr="00AA45FA" w:rsidRDefault="00EE388A" w:rsidP="00EE388A">
      <w:pPr>
        <w:pStyle w:val="2"/>
        <w:spacing w:after="0" w:line="240" w:lineRule="auto"/>
        <w:ind w:left="0" w:firstLine="709"/>
        <w:jc w:val="both"/>
      </w:pPr>
      <w:r w:rsidRPr="00AA45FA">
        <w:t xml:space="preserve"> от 15 апреля 2020 года № 675 «О внесении изменений в решение Совета муниципального района Белебеевский район Республики Башкортостан от 17 ноября 2005 года №35 «О едином налоге на вмененный доход для отдельных видов деятельности» установлен корректирующий коэффициент К</w:t>
      </w:r>
      <w:proofErr w:type="gramStart"/>
      <w:r w:rsidRPr="00AA45FA">
        <w:t>2</w:t>
      </w:r>
      <w:proofErr w:type="gramEnd"/>
      <w:r w:rsidRPr="00AA45FA">
        <w:t xml:space="preserve">, применяемого при исчислении единого налога на вмененный доход для отдельных видов деятельности, до 0,005 для субъектов малого и среднего предпринимательства (далее МСП), находящихся в Реестре МСП и осуществляющих деятельность в соответствии с Перечнем отраслей, наиболее уязвимых в условиях распространения новой </w:t>
      </w:r>
      <w:proofErr w:type="spellStart"/>
      <w:r w:rsidRPr="00AA45FA">
        <w:t>коронавирусной</w:t>
      </w:r>
      <w:proofErr w:type="spellEnd"/>
      <w:r w:rsidRPr="00AA45FA">
        <w:t xml:space="preserve"> инфекции (далее – Перечень отраслей); </w:t>
      </w:r>
    </w:p>
    <w:p w:rsidR="00EE388A" w:rsidRPr="00AA45FA" w:rsidRDefault="00EE388A" w:rsidP="00EE388A">
      <w:pPr>
        <w:pStyle w:val="2"/>
        <w:spacing w:after="0" w:line="240" w:lineRule="auto"/>
        <w:ind w:left="0" w:firstLine="709"/>
        <w:jc w:val="both"/>
      </w:pPr>
      <w:r w:rsidRPr="00AA45FA">
        <w:t xml:space="preserve">от 15 апреля 2020 года № 676 «Об освобождении от уплаты арендных платежей для субъектов малого и среднего предпринимательства – арендаторов муниципального имущества (за исключением земельных участков), находящихся в Реестре МСП, на период распространения </w:t>
      </w:r>
      <w:proofErr w:type="spellStart"/>
      <w:r w:rsidRPr="00AA45FA">
        <w:t>коронавирусной</w:t>
      </w:r>
      <w:proofErr w:type="spellEnd"/>
      <w:r w:rsidRPr="00AA45FA">
        <w:t xml:space="preserve"> инфекции»; </w:t>
      </w:r>
    </w:p>
    <w:p w:rsidR="00EE388A" w:rsidRPr="00AA45FA" w:rsidRDefault="00EE388A" w:rsidP="00EE388A">
      <w:pPr>
        <w:pStyle w:val="2"/>
        <w:spacing w:after="0" w:line="240" w:lineRule="auto"/>
        <w:ind w:left="0" w:firstLine="709"/>
        <w:jc w:val="both"/>
      </w:pPr>
      <w:proofErr w:type="gramStart"/>
      <w:r w:rsidRPr="00AA45FA">
        <w:t xml:space="preserve">приняты Решения Совета городских поселений муниципального района Белебеевский район Республики Башкортостан № 352 от 14.04.2020 года (ГП город Белебей), № 102 от 14.04.2020 года (ГП </w:t>
      </w:r>
      <w:proofErr w:type="spellStart"/>
      <w:r w:rsidRPr="00AA45FA">
        <w:t>Приютовский</w:t>
      </w:r>
      <w:proofErr w:type="spellEnd"/>
      <w:r w:rsidRPr="00AA45FA">
        <w:t xml:space="preserve"> поссовет), Решения 17 Советов сельских поселений муниципального района Белебеевский район Республики Башкортостан с 06.04.2020 по 14.04.2020 года от «О внесении изменений в решение Совета соответствующего поселения «ОБ установлении земельного налога» об освобождение от уплаты авансовых платежей</w:t>
      </w:r>
      <w:proofErr w:type="gramEnd"/>
      <w:r w:rsidRPr="00AA45FA">
        <w:t xml:space="preserve"> в 2020 году земельного налога для субъектов МСП и осуществляющих деятельность в соответствии с Перечнем отраслей;</w:t>
      </w:r>
    </w:p>
    <w:p w:rsidR="00EE388A" w:rsidRPr="00AA45FA" w:rsidRDefault="00EE388A" w:rsidP="00EE388A">
      <w:pPr>
        <w:pStyle w:val="2"/>
        <w:spacing w:after="0" w:line="240" w:lineRule="auto"/>
        <w:ind w:left="0" w:firstLine="709"/>
        <w:jc w:val="both"/>
      </w:pPr>
      <w:r w:rsidRPr="00AA45FA">
        <w:t>в соответствии с Законом Республики Башкортостан от 31.10.2018 года  № 4-з снижена в 2020 году налоговая ставка по упрощенной системе налогообложения с объектами налогообложения “Доходы” до 1 % и “Доходы за вычетом расходов” до 5% для налогоплательщиков, осуществляющих деятельность в соответствии с Перечнем отраслей;</w:t>
      </w:r>
    </w:p>
    <w:p w:rsidR="00EE388A" w:rsidRPr="00AA45FA" w:rsidRDefault="00EE388A" w:rsidP="00EE388A">
      <w:pPr>
        <w:pStyle w:val="2"/>
        <w:spacing w:after="0" w:line="240" w:lineRule="auto"/>
        <w:ind w:left="0" w:firstLine="709"/>
        <w:jc w:val="both"/>
      </w:pPr>
      <w:r w:rsidRPr="00AA45FA">
        <w:t>на основании Распоряжения Главы Республики Башкортостан от 01.06.2020 года № РГ-153 принято освободить в 2020 году от уплаты налога на имущество организаций субъектов малого и среднего предпринимательства (далее МСП), находящихся в Реестре МСП, осуществляющих деятельность в соответствии с Перечнем отраслей.</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Принимая во внимание вышеуказанные изменения, доходная часть консолидированного бюджета муниципального района Белебеевский район Республики Башкортостан на 2020-202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годы спрогнозирована с учетом снижения поступлений сумм УСН, НДФЛ, налога на имущество, арендных платежей.  </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При прогнозировании налоговых и неналоговых доходов консолидированного бюджета муниципального района Белебеевский район Республики Башкортостан на 2020-202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годы учтены основные направления налоговой и бюджетной политики Российской Федерации, </w:t>
      </w:r>
      <w:r w:rsidRPr="00AA45FA">
        <w:rPr>
          <w:rFonts w:ascii="Times New Roman" w:eastAsia="Times New Roman" w:hAnsi="Times New Roman" w:cs="Times New Roman"/>
          <w:sz w:val="24"/>
          <w:szCs w:val="24"/>
        </w:rPr>
        <w:lastRenderedPageBreak/>
        <w:t>Республики Башкортостан на среднесрочную перспективу, изменения законодательства, в том числе республиканского законодательства и решений органов местного самоуправления:</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введение льгот по налогу на имущество для организаций-участников специальных инвестиционных контрактов;</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предоставление льгот по налогу на имущество многодетным семьям;</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снижение ставки по налогу, взимаемому в связи с применением упрощенной системы налогообложения;</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освобождение МСП от налога на имущество организаций, авансовых платежей земельного налога, арендных платежей.</w:t>
      </w:r>
    </w:p>
    <w:p w:rsidR="00EE388A" w:rsidRPr="00AA45FA" w:rsidRDefault="00EE388A" w:rsidP="00EE388A">
      <w:pPr>
        <w:widowControl w:val="0"/>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Исполнение расходов консолидированного бюджета муниципального района Белебеевский район Республики Башкортостан прогнозируется в 2020 году в объеме 2012,90 млн</w:t>
      </w:r>
      <w:proofErr w:type="gramStart"/>
      <w:r w:rsidRPr="00AA45FA">
        <w:rPr>
          <w:rFonts w:ascii="Times New Roman" w:eastAsia="Times New Roman" w:hAnsi="Times New Roman" w:cs="Times New Roman"/>
          <w:sz w:val="24"/>
          <w:szCs w:val="24"/>
        </w:rPr>
        <w:t>.р</w:t>
      </w:r>
      <w:proofErr w:type="gramEnd"/>
      <w:r w:rsidRPr="00AA45FA">
        <w:rPr>
          <w:rFonts w:ascii="Times New Roman" w:eastAsia="Times New Roman" w:hAnsi="Times New Roman" w:cs="Times New Roman"/>
          <w:sz w:val="24"/>
          <w:szCs w:val="24"/>
        </w:rPr>
        <w:t>ублей. По сравнению с соответствующим периодом прошлого года расходы уменьшиться   на 277,1 млн</w:t>
      </w:r>
      <w:proofErr w:type="gramStart"/>
      <w:r w:rsidRPr="00AA45FA">
        <w:rPr>
          <w:rFonts w:ascii="Times New Roman" w:eastAsia="Times New Roman" w:hAnsi="Times New Roman" w:cs="Times New Roman"/>
          <w:sz w:val="24"/>
          <w:szCs w:val="24"/>
        </w:rPr>
        <w:t>.р</w:t>
      </w:r>
      <w:proofErr w:type="gramEnd"/>
      <w:r w:rsidRPr="00AA45FA">
        <w:rPr>
          <w:rFonts w:ascii="Times New Roman" w:eastAsia="Times New Roman" w:hAnsi="Times New Roman" w:cs="Times New Roman"/>
          <w:sz w:val="24"/>
          <w:szCs w:val="24"/>
        </w:rPr>
        <w:t>ублей  или на 12,1%. Начиная с 2019 года осуществляется реализация национальных проектов, ориентированных на достижение целей, задач и целевых показателей, установленных Указом Президента Российской Федерации от 7 мая 2018 года № 204 от «О национальных целях и стратегических задачах развития Российской Федерации на период до 2024 года».</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В структуре расходов консолидированного бюджета муниципального района по ожидаемой оценке наибольший удельный вес занимает социальная составляющая бюджета - 65,8 % всех расходов консолидированного бюджета. </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Расходные параметры консолидированного бюджета муниципального района Белебеевский район Республики Башкортостан на 2021 -202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годы определены исходя из оценки доходов консолидированного бюджета муниципального района Белебеевский район:</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на 2021 год в объеме </w:t>
      </w:r>
      <w:r>
        <w:rPr>
          <w:rFonts w:ascii="Times New Roman" w:eastAsia="Times New Roman" w:hAnsi="Times New Roman" w:cs="Times New Roman"/>
          <w:sz w:val="24"/>
          <w:szCs w:val="24"/>
        </w:rPr>
        <w:t>2310,476</w:t>
      </w:r>
      <w:r w:rsidRPr="00AA45FA">
        <w:rPr>
          <w:rFonts w:ascii="Times New Roman" w:eastAsia="Times New Roman" w:hAnsi="Times New Roman" w:cs="Times New Roman"/>
          <w:sz w:val="24"/>
          <w:szCs w:val="24"/>
        </w:rPr>
        <w:t xml:space="preserve"> млн</w:t>
      </w:r>
      <w:proofErr w:type="gramStart"/>
      <w:r w:rsidRPr="00AA45FA">
        <w:rPr>
          <w:rFonts w:ascii="Times New Roman" w:eastAsia="Times New Roman" w:hAnsi="Times New Roman" w:cs="Times New Roman"/>
          <w:sz w:val="24"/>
          <w:szCs w:val="24"/>
        </w:rPr>
        <w:t>.р</w:t>
      </w:r>
      <w:proofErr w:type="gramEnd"/>
      <w:r w:rsidRPr="00AA45FA">
        <w:rPr>
          <w:rFonts w:ascii="Times New Roman" w:eastAsia="Times New Roman" w:hAnsi="Times New Roman" w:cs="Times New Roman"/>
          <w:sz w:val="24"/>
          <w:szCs w:val="24"/>
        </w:rPr>
        <w:t xml:space="preserve">ублей, с ростом к оценке 2020 года на </w:t>
      </w:r>
      <w:r>
        <w:rPr>
          <w:rFonts w:ascii="Times New Roman" w:eastAsia="Times New Roman" w:hAnsi="Times New Roman" w:cs="Times New Roman"/>
          <w:sz w:val="24"/>
          <w:szCs w:val="24"/>
        </w:rPr>
        <w:t>297,576</w:t>
      </w:r>
      <w:r w:rsidRPr="00AA45FA">
        <w:rPr>
          <w:rFonts w:ascii="Times New Roman" w:eastAsia="Times New Roman" w:hAnsi="Times New Roman" w:cs="Times New Roman"/>
          <w:sz w:val="24"/>
          <w:szCs w:val="24"/>
        </w:rPr>
        <w:t xml:space="preserve">  млн.рублей или на </w:t>
      </w:r>
      <w:r>
        <w:rPr>
          <w:rFonts w:ascii="Times New Roman" w:eastAsia="Times New Roman" w:hAnsi="Times New Roman" w:cs="Times New Roman"/>
          <w:sz w:val="24"/>
          <w:szCs w:val="24"/>
        </w:rPr>
        <w:t>14,8</w:t>
      </w:r>
      <w:r w:rsidRPr="00AA45FA">
        <w:rPr>
          <w:rFonts w:ascii="Times New Roman" w:eastAsia="Times New Roman" w:hAnsi="Times New Roman" w:cs="Times New Roman"/>
          <w:sz w:val="24"/>
          <w:szCs w:val="24"/>
        </w:rPr>
        <w:t xml:space="preserve"> процента;</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на 2022 год - </w:t>
      </w:r>
      <w:r>
        <w:rPr>
          <w:rFonts w:ascii="Times New Roman" w:eastAsia="Times New Roman" w:hAnsi="Times New Roman" w:cs="Times New Roman"/>
          <w:sz w:val="24"/>
          <w:szCs w:val="24"/>
        </w:rPr>
        <w:t>2348,093</w:t>
      </w:r>
      <w:r w:rsidRPr="00AA45FA">
        <w:rPr>
          <w:rFonts w:ascii="Times New Roman" w:eastAsia="Times New Roman" w:hAnsi="Times New Roman" w:cs="Times New Roman"/>
          <w:sz w:val="24"/>
          <w:szCs w:val="24"/>
        </w:rPr>
        <w:t xml:space="preserve"> млн</w:t>
      </w:r>
      <w:proofErr w:type="gramStart"/>
      <w:r w:rsidRPr="00AA45FA">
        <w:rPr>
          <w:rFonts w:ascii="Times New Roman" w:eastAsia="Times New Roman" w:hAnsi="Times New Roman" w:cs="Times New Roman"/>
          <w:sz w:val="24"/>
          <w:szCs w:val="24"/>
        </w:rPr>
        <w:t>.р</w:t>
      </w:r>
      <w:proofErr w:type="gramEnd"/>
      <w:r w:rsidRPr="00AA45FA">
        <w:rPr>
          <w:rFonts w:ascii="Times New Roman" w:eastAsia="Times New Roman" w:hAnsi="Times New Roman" w:cs="Times New Roman"/>
          <w:sz w:val="24"/>
          <w:szCs w:val="24"/>
        </w:rPr>
        <w:t>ублей, с ростом к оценке 202</w:t>
      </w:r>
      <w:r>
        <w:rPr>
          <w:rFonts w:ascii="Times New Roman" w:eastAsia="Times New Roman" w:hAnsi="Times New Roman" w:cs="Times New Roman"/>
          <w:sz w:val="24"/>
          <w:szCs w:val="24"/>
        </w:rPr>
        <w:t>1</w:t>
      </w:r>
      <w:r w:rsidRPr="00AA45FA">
        <w:rPr>
          <w:rFonts w:ascii="Times New Roman" w:eastAsia="Times New Roman" w:hAnsi="Times New Roman" w:cs="Times New Roman"/>
          <w:sz w:val="24"/>
          <w:szCs w:val="24"/>
        </w:rPr>
        <w:t xml:space="preserve"> года на </w:t>
      </w:r>
      <w:r>
        <w:rPr>
          <w:rFonts w:ascii="Times New Roman" w:eastAsia="Times New Roman" w:hAnsi="Times New Roman" w:cs="Times New Roman"/>
          <w:sz w:val="24"/>
          <w:szCs w:val="24"/>
        </w:rPr>
        <w:t>37,617</w:t>
      </w:r>
      <w:r w:rsidRPr="00AA45FA">
        <w:rPr>
          <w:rFonts w:ascii="Times New Roman" w:eastAsia="Times New Roman" w:hAnsi="Times New Roman" w:cs="Times New Roman"/>
          <w:sz w:val="24"/>
          <w:szCs w:val="24"/>
        </w:rPr>
        <w:t xml:space="preserve"> млн.рублей или на </w:t>
      </w:r>
      <w:r>
        <w:rPr>
          <w:rFonts w:ascii="Times New Roman" w:eastAsia="Times New Roman" w:hAnsi="Times New Roman" w:cs="Times New Roman"/>
          <w:sz w:val="24"/>
          <w:szCs w:val="24"/>
        </w:rPr>
        <w:t>1,6</w:t>
      </w:r>
      <w:r w:rsidRPr="00AA45FA">
        <w:rPr>
          <w:rFonts w:ascii="Times New Roman" w:eastAsia="Times New Roman" w:hAnsi="Times New Roman" w:cs="Times New Roman"/>
          <w:sz w:val="24"/>
          <w:szCs w:val="24"/>
        </w:rPr>
        <w:t xml:space="preserve"> процента; </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на 2023год -  </w:t>
      </w:r>
      <w:r>
        <w:rPr>
          <w:rFonts w:ascii="Times New Roman" w:eastAsia="Times New Roman" w:hAnsi="Times New Roman" w:cs="Times New Roman"/>
          <w:sz w:val="24"/>
          <w:szCs w:val="24"/>
        </w:rPr>
        <w:t>2391,723</w:t>
      </w:r>
      <w:r w:rsidRPr="00AA45FA">
        <w:rPr>
          <w:rFonts w:ascii="Times New Roman" w:eastAsia="Times New Roman" w:hAnsi="Times New Roman" w:cs="Times New Roman"/>
          <w:sz w:val="24"/>
          <w:szCs w:val="24"/>
        </w:rPr>
        <w:t xml:space="preserve"> млн</w:t>
      </w:r>
      <w:proofErr w:type="gramStart"/>
      <w:r w:rsidRPr="00AA45FA">
        <w:rPr>
          <w:rFonts w:ascii="Times New Roman" w:eastAsia="Times New Roman" w:hAnsi="Times New Roman" w:cs="Times New Roman"/>
          <w:sz w:val="24"/>
          <w:szCs w:val="24"/>
        </w:rPr>
        <w:t>.р</w:t>
      </w:r>
      <w:proofErr w:type="gramEnd"/>
      <w:r w:rsidRPr="00AA45FA">
        <w:rPr>
          <w:rFonts w:ascii="Times New Roman" w:eastAsia="Times New Roman" w:hAnsi="Times New Roman" w:cs="Times New Roman"/>
          <w:sz w:val="24"/>
          <w:szCs w:val="24"/>
        </w:rPr>
        <w:t>ублей, ростом к оценке 202</w:t>
      </w:r>
      <w:r>
        <w:rPr>
          <w:rFonts w:ascii="Times New Roman" w:eastAsia="Times New Roman" w:hAnsi="Times New Roman" w:cs="Times New Roman"/>
          <w:sz w:val="24"/>
          <w:szCs w:val="24"/>
        </w:rPr>
        <w:t>2</w:t>
      </w:r>
      <w:r w:rsidRPr="00AA45FA">
        <w:rPr>
          <w:rFonts w:ascii="Times New Roman" w:eastAsia="Times New Roman" w:hAnsi="Times New Roman" w:cs="Times New Roman"/>
          <w:sz w:val="24"/>
          <w:szCs w:val="24"/>
        </w:rPr>
        <w:t xml:space="preserve"> года на </w:t>
      </w:r>
      <w:r>
        <w:rPr>
          <w:rFonts w:ascii="Times New Roman" w:eastAsia="Times New Roman" w:hAnsi="Times New Roman" w:cs="Times New Roman"/>
          <w:sz w:val="24"/>
          <w:szCs w:val="24"/>
        </w:rPr>
        <w:t>43,63</w:t>
      </w:r>
      <w:r w:rsidRPr="00AA45FA">
        <w:rPr>
          <w:rFonts w:ascii="Times New Roman" w:eastAsia="Times New Roman" w:hAnsi="Times New Roman" w:cs="Times New Roman"/>
          <w:sz w:val="24"/>
          <w:szCs w:val="24"/>
        </w:rPr>
        <w:t xml:space="preserve"> млн.рублей или на </w:t>
      </w:r>
      <w:r>
        <w:rPr>
          <w:rFonts w:ascii="Times New Roman" w:eastAsia="Times New Roman" w:hAnsi="Times New Roman" w:cs="Times New Roman"/>
          <w:sz w:val="24"/>
          <w:szCs w:val="24"/>
        </w:rPr>
        <w:t>1,9</w:t>
      </w:r>
      <w:r w:rsidRPr="00AA45FA">
        <w:rPr>
          <w:rFonts w:ascii="Times New Roman" w:eastAsia="Times New Roman" w:hAnsi="Times New Roman" w:cs="Times New Roman"/>
          <w:sz w:val="24"/>
          <w:szCs w:val="24"/>
        </w:rPr>
        <w:t xml:space="preserve"> процента.</w:t>
      </w:r>
    </w:p>
    <w:p w:rsidR="001941AA" w:rsidRPr="00AA45FA" w:rsidRDefault="001941AA" w:rsidP="001941AA">
      <w:pPr>
        <w:tabs>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За 2019 год прибыль прибыльных предприятий составила 1 617,02 млн. рублей, что ниже уровня 2018 года на 12,2 млн. рублей. За истекший период количество предприятий, завершивших год с убытком 5: </w:t>
      </w:r>
      <w:proofErr w:type="gramStart"/>
      <w:r w:rsidRPr="00AA45FA">
        <w:rPr>
          <w:rFonts w:ascii="Times New Roman" w:eastAsia="Times New Roman" w:hAnsi="Times New Roman" w:cs="Times New Roman"/>
          <w:sz w:val="24"/>
          <w:szCs w:val="24"/>
        </w:rPr>
        <w:t>ООО «Северная Нива Башкирия», ООО «</w:t>
      </w:r>
      <w:proofErr w:type="spellStart"/>
      <w:r w:rsidRPr="00AA45FA">
        <w:rPr>
          <w:rFonts w:ascii="Times New Roman" w:eastAsia="Times New Roman" w:hAnsi="Times New Roman" w:cs="Times New Roman"/>
          <w:sz w:val="24"/>
          <w:szCs w:val="24"/>
        </w:rPr>
        <w:t>БелЗАН</w:t>
      </w:r>
      <w:proofErr w:type="spellEnd"/>
      <w:r w:rsidRPr="00AA45FA">
        <w:rPr>
          <w:rFonts w:ascii="Times New Roman" w:eastAsia="Times New Roman" w:hAnsi="Times New Roman" w:cs="Times New Roman"/>
          <w:sz w:val="24"/>
          <w:szCs w:val="24"/>
        </w:rPr>
        <w:t xml:space="preserve"> МК», ООО </w:t>
      </w:r>
      <w:proofErr w:type="spellStart"/>
      <w:r w:rsidRPr="00AA45FA">
        <w:rPr>
          <w:rFonts w:ascii="Times New Roman" w:eastAsia="Times New Roman" w:hAnsi="Times New Roman" w:cs="Times New Roman"/>
          <w:sz w:val="24"/>
          <w:szCs w:val="24"/>
        </w:rPr>
        <w:t>Белавтодеталь</w:t>
      </w:r>
      <w:proofErr w:type="spellEnd"/>
      <w:r w:rsidRPr="00AA45FA">
        <w:rPr>
          <w:rFonts w:ascii="Times New Roman" w:eastAsia="Times New Roman" w:hAnsi="Times New Roman" w:cs="Times New Roman"/>
          <w:sz w:val="24"/>
          <w:szCs w:val="24"/>
        </w:rPr>
        <w:t>», МУП «Меркурий», ООО «</w:t>
      </w:r>
      <w:proofErr w:type="spellStart"/>
      <w:r w:rsidRPr="00AA45FA">
        <w:rPr>
          <w:rFonts w:ascii="Times New Roman" w:eastAsia="Times New Roman" w:hAnsi="Times New Roman" w:cs="Times New Roman"/>
          <w:sz w:val="24"/>
          <w:szCs w:val="24"/>
        </w:rPr>
        <w:t>Эконива</w:t>
      </w:r>
      <w:proofErr w:type="spellEnd"/>
      <w:r w:rsidRPr="00AA45FA">
        <w:rPr>
          <w:rFonts w:ascii="Times New Roman" w:eastAsia="Times New Roman" w:hAnsi="Times New Roman" w:cs="Times New Roman"/>
          <w:sz w:val="24"/>
          <w:szCs w:val="24"/>
        </w:rPr>
        <w:t xml:space="preserve"> Молоко Башкирия» (2018 год – 3 предприятия:</w:t>
      </w:r>
      <w:proofErr w:type="gramEnd"/>
      <w:r w:rsidRPr="00AA45FA">
        <w:rPr>
          <w:rFonts w:ascii="Times New Roman" w:eastAsia="Times New Roman" w:hAnsi="Times New Roman" w:cs="Times New Roman"/>
          <w:sz w:val="24"/>
          <w:szCs w:val="24"/>
        </w:rPr>
        <w:t xml:space="preserve"> </w:t>
      </w:r>
      <w:proofErr w:type="gramStart"/>
      <w:r w:rsidRPr="00AA45FA">
        <w:rPr>
          <w:rFonts w:ascii="Times New Roman" w:eastAsia="Times New Roman" w:hAnsi="Times New Roman" w:cs="Times New Roman"/>
          <w:sz w:val="24"/>
          <w:szCs w:val="24"/>
        </w:rPr>
        <w:t>ООО «</w:t>
      </w:r>
      <w:proofErr w:type="spellStart"/>
      <w:r w:rsidRPr="00AA45FA">
        <w:rPr>
          <w:rFonts w:ascii="Times New Roman" w:eastAsia="Times New Roman" w:hAnsi="Times New Roman" w:cs="Times New Roman"/>
          <w:sz w:val="24"/>
          <w:szCs w:val="24"/>
        </w:rPr>
        <w:t>Шкаповское</w:t>
      </w:r>
      <w:proofErr w:type="spellEnd"/>
      <w:r w:rsidRPr="00AA45FA">
        <w:rPr>
          <w:rFonts w:ascii="Times New Roman" w:eastAsia="Times New Roman" w:hAnsi="Times New Roman" w:cs="Times New Roman"/>
          <w:sz w:val="24"/>
          <w:szCs w:val="24"/>
        </w:rPr>
        <w:t xml:space="preserve"> газоперерабатывающее предприятие», ЗАО «Радуга», ООО «</w:t>
      </w:r>
      <w:proofErr w:type="spellStart"/>
      <w:r w:rsidRPr="00AA45FA">
        <w:rPr>
          <w:rFonts w:ascii="Times New Roman" w:eastAsia="Times New Roman" w:hAnsi="Times New Roman" w:cs="Times New Roman"/>
          <w:sz w:val="24"/>
          <w:szCs w:val="24"/>
        </w:rPr>
        <w:t>БелЗАН</w:t>
      </w:r>
      <w:proofErr w:type="spellEnd"/>
      <w:r w:rsidRPr="00AA45FA">
        <w:rPr>
          <w:rFonts w:ascii="Times New Roman" w:eastAsia="Times New Roman" w:hAnsi="Times New Roman" w:cs="Times New Roman"/>
          <w:sz w:val="24"/>
          <w:szCs w:val="24"/>
        </w:rPr>
        <w:t xml:space="preserve"> Мет»).</w:t>
      </w:r>
      <w:proofErr w:type="gramEnd"/>
    </w:p>
    <w:p w:rsidR="00EE388A" w:rsidRPr="00AA45FA" w:rsidRDefault="00EE388A" w:rsidP="00EE388A">
      <w:pPr>
        <w:tabs>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Снижение темпов роста прибыли предприятий обусловлено следующими причинами: </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увеличение издержек предприятий (рост минимального размера оплаты труда, отпускных цен поставщиков на сырье (в частности металл для предприятий машиностроения) энергоресурсы);</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снижение объемов отгрузки предприятиями;</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сдерживание роста отпускных цен на продукцию  в целях сохранения рынков сбыта произведенной продукции;</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погашение кредитов банков;</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списание убытков прошлых лет;</w:t>
      </w:r>
    </w:p>
    <w:p w:rsidR="00EE388A" w:rsidRPr="00AA45FA" w:rsidRDefault="00EE388A" w:rsidP="00EE388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технологическое перевооружение производства;</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 неопределенность на получение выпадающих доходов для </w:t>
      </w:r>
      <w:proofErr w:type="spellStart"/>
      <w:r w:rsidRPr="00AA45FA">
        <w:rPr>
          <w:rFonts w:ascii="Times New Roman" w:eastAsia="Times New Roman" w:hAnsi="Times New Roman" w:cs="Times New Roman"/>
          <w:sz w:val="24"/>
          <w:szCs w:val="24"/>
        </w:rPr>
        <w:t>ресурсо-снабжающих</w:t>
      </w:r>
      <w:proofErr w:type="spellEnd"/>
      <w:r w:rsidRPr="00AA45FA">
        <w:rPr>
          <w:rFonts w:ascii="Times New Roman" w:eastAsia="Times New Roman" w:hAnsi="Times New Roman" w:cs="Times New Roman"/>
          <w:sz w:val="24"/>
          <w:szCs w:val="24"/>
        </w:rPr>
        <w:t xml:space="preserve"> организаций.</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Предприятия промышленного комплекса муниципального района Белебеевский район Республики Башкортостан, оказывающие существенное значение на формирование прибыли:</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АО "Белебеевский  завод "</w:t>
      </w:r>
      <w:proofErr w:type="spellStart"/>
      <w:r w:rsidRPr="00AA45FA">
        <w:rPr>
          <w:rFonts w:ascii="Times New Roman" w:eastAsia="Times New Roman" w:hAnsi="Times New Roman" w:cs="Times New Roman"/>
          <w:sz w:val="24"/>
          <w:szCs w:val="24"/>
        </w:rPr>
        <w:t>Автонормаль</w:t>
      </w:r>
      <w:proofErr w:type="spellEnd"/>
      <w:r w:rsidRPr="00AA45FA">
        <w:rPr>
          <w:rFonts w:ascii="Times New Roman" w:eastAsia="Times New Roman" w:hAnsi="Times New Roman" w:cs="Times New Roman"/>
          <w:sz w:val="24"/>
          <w:szCs w:val="24"/>
        </w:rPr>
        <w:t>";</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ОАО "Керамика";</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ОАО "Белебеевский  ордена "Знак Почёта" молочный комбинат";</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lastRenderedPageBreak/>
        <w:t>- ООО "</w:t>
      </w:r>
      <w:proofErr w:type="spellStart"/>
      <w:r w:rsidRPr="00AA45FA">
        <w:rPr>
          <w:rFonts w:ascii="Times New Roman" w:eastAsia="Times New Roman" w:hAnsi="Times New Roman" w:cs="Times New Roman"/>
          <w:sz w:val="24"/>
          <w:szCs w:val="24"/>
        </w:rPr>
        <w:t>Шкаповское</w:t>
      </w:r>
      <w:proofErr w:type="spellEnd"/>
      <w:r w:rsidRPr="00AA45FA">
        <w:rPr>
          <w:rFonts w:ascii="Times New Roman" w:eastAsia="Times New Roman" w:hAnsi="Times New Roman" w:cs="Times New Roman"/>
          <w:sz w:val="24"/>
          <w:szCs w:val="24"/>
        </w:rPr>
        <w:t xml:space="preserve"> газоперерабатывающее производство";</w:t>
      </w:r>
    </w:p>
    <w:p w:rsidR="00EE388A" w:rsidRPr="00AA45FA" w:rsidRDefault="00EE388A" w:rsidP="00EE388A">
      <w:pPr>
        <w:tabs>
          <w:tab w:val="left" w:pos="567"/>
          <w:tab w:val="left" w:pos="851"/>
        </w:tabs>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ООО "</w:t>
      </w:r>
      <w:proofErr w:type="spellStart"/>
      <w:r w:rsidRPr="00AA45FA">
        <w:rPr>
          <w:rFonts w:ascii="Times New Roman" w:eastAsia="Times New Roman" w:hAnsi="Times New Roman" w:cs="Times New Roman"/>
          <w:sz w:val="24"/>
          <w:szCs w:val="24"/>
        </w:rPr>
        <w:t>Белебеевские</w:t>
      </w:r>
      <w:proofErr w:type="spellEnd"/>
      <w:r w:rsidRPr="00AA45FA">
        <w:rPr>
          <w:rFonts w:ascii="Times New Roman" w:eastAsia="Times New Roman" w:hAnsi="Times New Roman" w:cs="Times New Roman"/>
          <w:sz w:val="24"/>
          <w:szCs w:val="24"/>
        </w:rPr>
        <w:t xml:space="preserve"> городские электрические сети".</w:t>
      </w:r>
    </w:p>
    <w:p w:rsidR="001941AA" w:rsidRDefault="00B635EF" w:rsidP="00B635EF">
      <w:pPr>
        <w:tabs>
          <w:tab w:val="left" w:pos="567"/>
          <w:tab w:val="left" w:pos="709"/>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8 месяцев </w:t>
      </w:r>
      <w:r w:rsidR="00EE388A" w:rsidRPr="00AA45FA">
        <w:rPr>
          <w:rFonts w:ascii="Times New Roman" w:eastAsia="Times New Roman" w:hAnsi="Times New Roman" w:cs="Times New Roman"/>
          <w:sz w:val="24"/>
          <w:szCs w:val="24"/>
        </w:rPr>
        <w:t>2020 года</w:t>
      </w:r>
      <w:r w:rsidR="001941AA">
        <w:rPr>
          <w:rFonts w:ascii="Times New Roman" w:eastAsia="Times New Roman" w:hAnsi="Times New Roman" w:cs="Times New Roman"/>
          <w:sz w:val="24"/>
          <w:szCs w:val="24"/>
        </w:rPr>
        <w:t xml:space="preserve"> </w:t>
      </w:r>
      <w:r w:rsidR="00EE388A" w:rsidRPr="00AA45FA">
        <w:rPr>
          <w:rFonts w:ascii="Times New Roman" w:eastAsia="Times New Roman" w:hAnsi="Times New Roman" w:cs="Times New Roman"/>
          <w:sz w:val="24"/>
          <w:szCs w:val="24"/>
        </w:rPr>
        <w:t>наблюдается снижение общего размера убытков, полученных предприятиями района</w:t>
      </w:r>
      <w:r w:rsidR="001941AA">
        <w:rPr>
          <w:rFonts w:ascii="Times New Roman" w:eastAsia="Times New Roman" w:hAnsi="Times New Roman" w:cs="Times New Roman"/>
          <w:sz w:val="24"/>
          <w:szCs w:val="24"/>
        </w:rPr>
        <w:t xml:space="preserve"> по сравнению с </w:t>
      </w:r>
      <w:proofErr w:type="gramStart"/>
      <w:r w:rsidR="001941AA">
        <w:rPr>
          <w:rFonts w:ascii="Times New Roman" w:eastAsia="Times New Roman" w:hAnsi="Times New Roman" w:cs="Times New Roman"/>
          <w:sz w:val="24"/>
          <w:szCs w:val="24"/>
        </w:rPr>
        <w:t>предыдущем</w:t>
      </w:r>
      <w:proofErr w:type="gramEnd"/>
      <w:r w:rsidR="001941AA">
        <w:rPr>
          <w:rFonts w:ascii="Times New Roman" w:eastAsia="Times New Roman" w:hAnsi="Times New Roman" w:cs="Times New Roman"/>
          <w:sz w:val="24"/>
          <w:szCs w:val="24"/>
        </w:rPr>
        <w:t xml:space="preserve"> месяцем</w:t>
      </w:r>
      <w:r w:rsidR="00EE388A" w:rsidRPr="00AA45FA">
        <w:rPr>
          <w:rFonts w:ascii="Times New Roman" w:eastAsia="Times New Roman" w:hAnsi="Times New Roman" w:cs="Times New Roman"/>
          <w:sz w:val="24"/>
          <w:szCs w:val="24"/>
        </w:rPr>
        <w:t>.</w:t>
      </w:r>
      <w:r w:rsidRPr="00B63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AA45FA">
        <w:rPr>
          <w:rFonts w:ascii="Times New Roman" w:eastAsia="Times New Roman" w:hAnsi="Times New Roman" w:cs="Times New Roman"/>
          <w:sz w:val="24"/>
          <w:szCs w:val="24"/>
        </w:rPr>
        <w:t xml:space="preserve"> 2019 году в период с января по </w:t>
      </w:r>
      <w:r>
        <w:rPr>
          <w:rFonts w:ascii="Times New Roman" w:eastAsia="Times New Roman" w:hAnsi="Times New Roman" w:cs="Times New Roman"/>
          <w:sz w:val="24"/>
          <w:szCs w:val="24"/>
        </w:rPr>
        <w:t xml:space="preserve">август также </w:t>
      </w:r>
      <w:r w:rsidRPr="00AA45FA">
        <w:rPr>
          <w:rFonts w:ascii="Times New Roman" w:eastAsia="Times New Roman" w:hAnsi="Times New Roman" w:cs="Times New Roman"/>
          <w:sz w:val="24"/>
          <w:szCs w:val="24"/>
        </w:rPr>
        <w:t>происходил</w:t>
      </w:r>
      <w:r>
        <w:rPr>
          <w:rFonts w:ascii="Times New Roman" w:eastAsia="Times New Roman" w:hAnsi="Times New Roman" w:cs="Times New Roman"/>
          <w:sz w:val="24"/>
          <w:szCs w:val="24"/>
        </w:rPr>
        <w:t xml:space="preserve">о снижение </w:t>
      </w:r>
      <w:r w:rsidRPr="00AA45FA">
        <w:rPr>
          <w:rFonts w:ascii="Times New Roman" w:eastAsia="Times New Roman" w:hAnsi="Times New Roman" w:cs="Times New Roman"/>
          <w:sz w:val="24"/>
          <w:szCs w:val="24"/>
        </w:rPr>
        <w:t>размера убытков.</w:t>
      </w:r>
      <w:r w:rsidR="00EE388A" w:rsidRPr="00AA45FA">
        <w:rPr>
          <w:rFonts w:ascii="Times New Roman" w:eastAsia="Times New Roman" w:hAnsi="Times New Roman" w:cs="Times New Roman"/>
          <w:sz w:val="24"/>
          <w:szCs w:val="24"/>
        </w:rPr>
        <w:t xml:space="preserve"> </w:t>
      </w:r>
      <w:r w:rsidR="001941AA">
        <w:rPr>
          <w:rFonts w:ascii="Times New Roman" w:eastAsia="Times New Roman" w:hAnsi="Times New Roman" w:cs="Times New Roman"/>
          <w:sz w:val="24"/>
          <w:szCs w:val="24"/>
        </w:rPr>
        <w:t>Прибыль прибыльных предприятий составила 79,9 % к аналогичному периоду прошлого года.</w:t>
      </w:r>
    </w:p>
    <w:p w:rsidR="00EE388A" w:rsidRPr="00AA45FA" w:rsidRDefault="001941AA" w:rsidP="001941AA">
      <w:pPr>
        <w:tabs>
          <w:tab w:val="left" w:pos="567"/>
          <w:tab w:val="left" w:pos="709"/>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w:t>
      </w:r>
      <w:r w:rsidR="00EE388A" w:rsidRPr="00AA45FA">
        <w:rPr>
          <w:rFonts w:ascii="Times New Roman" w:eastAsia="Times New Roman" w:hAnsi="Times New Roman" w:cs="Times New Roman"/>
          <w:sz w:val="24"/>
          <w:szCs w:val="24"/>
        </w:rPr>
        <w:t>се эти факторы были приняты во внимание при разработке прогноза до 202</w:t>
      </w:r>
      <w:r w:rsidR="00EE388A">
        <w:rPr>
          <w:rFonts w:ascii="Times New Roman" w:eastAsia="Times New Roman" w:hAnsi="Times New Roman" w:cs="Times New Roman"/>
          <w:sz w:val="24"/>
          <w:szCs w:val="24"/>
        </w:rPr>
        <w:t>3</w:t>
      </w:r>
      <w:r w:rsidR="00EE388A" w:rsidRPr="00AA45FA">
        <w:rPr>
          <w:rFonts w:ascii="Times New Roman" w:eastAsia="Times New Roman" w:hAnsi="Times New Roman" w:cs="Times New Roman"/>
          <w:sz w:val="24"/>
          <w:szCs w:val="24"/>
        </w:rPr>
        <w:t xml:space="preserve"> года.  </w:t>
      </w:r>
    </w:p>
    <w:p w:rsidR="00E61010" w:rsidRPr="00E0032C" w:rsidRDefault="00E61010" w:rsidP="00AA45FA">
      <w:pPr>
        <w:spacing w:after="0" w:line="240" w:lineRule="auto"/>
        <w:ind w:firstLine="709"/>
        <w:jc w:val="center"/>
        <w:rPr>
          <w:rFonts w:ascii="Times New Roman" w:eastAsia="Times New Roman" w:hAnsi="Times New Roman" w:cs="Times New Roman"/>
          <w:color w:val="FF0000"/>
          <w:sz w:val="24"/>
          <w:szCs w:val="24"/>
        </w:rPr>
      </w:pPr>
    </w:p>
    <w:p w:rsidR="00315CE3" w:rsidRPr="004E645E" w:rsidRDefault="00315CE3" w:rsidP="00AA45FA">
      <w:pPr>
        <w:spacing w:after="0" w:line="240" w:lineRule="auto"/>
        <w:ind w:firstLine="709"/>
        <w:jc w:val="center"/>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Социальная сфера</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В 2019 году среднегодовая численность постоянного населения</w:t>
      </w:r>
      <w:r w:rsidRPr="00AA45FA">
        <w:rPr>
          <w:rFonts w:ascii="Times New Roman" w:eastAsia="Times New Roman" w:hAnsi="Times New Roman" w:cs="Times New Roman"/>
          <w:sz w:val="24"/>
          <w:szCs w:val="24"/>
        </w:rPr>
        <w:t xml:space="preserve"> составила 95 855 человек. В 2020 году ожидается снижение численности населения до 95 300 человек. На период 2021-202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годов по консервативному варианту прогнозируется дальнейшее снижения среднегодовой численности населения при сохранении сложившейся динамики сокращения численности населения муниципального района. Стабилизация и рост за счет увеличения рождаемости и положительного сальдо миграционного движения населения.</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В прогнозируемом периоде продолжается тенденция к старению и сокращению населения в трудоспособном возрасте.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В связи с этим прогнозируется сокращение трудовых ресурсов по консервативному варианту. С возможным небольшим ростом по целевому варианту за счет роста численности работающих лиц старших возрастов, а также лиц, достигших шестнадцатилетнего возраста, миграционного движения населения.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На общем фоне снижения численности населения муниципального района   прогнозируется  снижение численности </w:t>
      </w:r>
      <w:proofErr w:type="gramStart"/>
      <w:r w:rsidRPr="00AA45FA">
        <w:rPr>
          <w:rFonts w:ascii="Times New Roman" w:eastAsia="Times New Roman" w:hAnsi="Times New Roman" w:cs="Times New Roman"/>
          <w:sz w:val="24"/>
          <w:szCs w:val="24"/>
        </w:rPr>
        <w:t>занятых</w:t>
      </w:r>
      <w:proofErr w:type="gramEnd"/>
      <w:r w:rsidRPr="00AA45FA">
        <w:rPr>
          <w:rFonts w:ascii="Times New Roman" w:eastAsia="Times New Roman" w:hAnsi="Times New Roman" w:cs="Times New Roman"/>
          <w:sz w:val="24"/>
          <w:szCs w:val="24"/>
        </w:rPr>
        <w:t xml:space="preserve"> в экономике по консервативному варианту. По базовому и целевому вариантам прогнозируется рост численности занятых в экономике за счет снижения количества безработных граждан и легализации трудовых отношений.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proofErr w:type="gramStart"/>
      <w:r w:rsidRPr="00AA45FA">
        <w:rPr>
          <w:rFonts w:ascii="Times New Roman" w:eastAsia="Times New Roman" w:hAnsi="Times New Roman" w:cs="Times New Roman"/>
          <w:sz w:val="24"/>
          <w:szCs w:val="24"/>
        </w:rPr>
        <w:t xml:space="preserve">В результате реализации мероприятий по развитию негосударственного сектора в социальной сфере (реорганизацией предприятий и учреждений, оптимизацией численности работников, а также передачей на </w:t>
      </w:r>
      <w:proofErr w:type="spellStart"/>
      <w:r w:rsidRPr="00AA45FA">
        <w:rPr>
          <w:rFonts w:ascii="Times New Roman" w:eastAsia="Times New Roman" w:hAnsi="Times New Roman" w:cs="Times New Roman"/>
          <w:sz w:val="24"/>
          <w:szCs w:val="24"/>
        </w:rPr>
        <w:t>аутсорсинг</w:t>
      </w:r>
      <w:proofErr w:type="spellEnd"/>
      <w:r w:rsidRPr="00AA45FA">
        <w:rPr>
          <w:rFonts w:ascii="Times New Roman" w:eastAsia="Times New Roman" w:hAnsi="Times New Roman" w:cs="Times New Roman"/>
          <w:sz w:val="24"/>
          <w:szCs w:val="24"/>
        </w:rPr>
        <w:t xml:space="preserve"> непрофильные направления деятельности в муниципальных учреждениях - организацию питания, уборку помещений, охрану зданий, техническое сопровождение, транспортное обслуживание) с 2016 года происходит снижение количества лиц, занятых в государственных и муниципальных предприятиях и учреждениях.</w:t>
      </w:r>
      <w:proofErr w:type="gramEnd"/>
      <w:r w:rsidRPr="00AA45FA">
        <w:rPr>
          <w:rFonts w:ascii="Times New Roman" w:eastAsia="Times New Roman" w:hAnsi="Times New Roman" w:cs="Times New Roman"/>
          <w:sz w:val="24"/>
          <w:szCs w:val="24"/>
        </w:rPr>
        <w:t xml:space="preserve"> Высвобождаемые трудовые ресурсы переходят в частные формы собственности (в частные организации, к индивидуальным предпринимателям).</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Вместе с тем наблюдается снижение численности работников крупных и средних предприятий в основном в сферах обрабатывающих производств, финансовой и страховой деятельности. Это связано с оптимизационными процессами, проводимыми предприятиями.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Таким образом, совокупное влияние  вышеперечисленных факторов (передача на </w:t>
      </w:r>
      <w:proofErr w:type="spellStart"/>
      <w:r w:rsidRPr="00AA45FA">
        <w:rPr>
          <w:rFonts w:ascii="Times New Roman" w:eastAsia="Times New Roman" w:hAnsi="Times New Roman" w:cs="Times New Roman"/>
          <w:sz w:val="24"/>
          <w:szCs w:val="24"/>
        </w:rPr>
        <w:t>аутсорсинг</w:t>
      </w:r>
      <w:proofErr w:type="spellEnd"/>
      <w:r w:rsidRPr="00AA45FA">
        <w:rPr>
          <w:rFonts w:ascii="Times New Roman" w:eastAsia="Times New Roman" w:hAnsi="Times New Roman" w:cs="Times New Roman"/>
          <w:sz w:val="24"/>
          <w:szCs w:val="24"/>
        </w:rPr>
        <w:t xml:space="preserve"> непрофильные направления деятельности, снижение численности работников крупных и средних предприятий) сказывается на снижении численности работников предприятий и организаций всего.</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Среднемесячная заработная плата по крупным и средним предприятиям в 2019 году составила 32 772,0 руб., что на 7,4% выше уровня 2018 года. </w:t>
      </w:r>
    </w:p>
    <w:p w:rsidR="00FF14EA" w:rsidRPr="000866D8" w:rsidRDefault="00FF14EA" w:rsidP="00FF14EA">
      <w:pPr>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По предварительной оценке, с учетом имеющихся данных роста среднемесячной заработной платы на момент формирования прогноза, а также оперативной информации предприятий рост среднемесячной заработной платы в 2020 году по крупным и средним предприятиям составит 106,0%.</w:t>
      </w:r>
    </w:p>
    <w:p w:rsidR="00FF14EA" w:rsidRPr="000866D8" w:rsidRDefault="00FF14EA" w:rsidP="00FF14EA">
      <w:pPr>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В прогнозируемом периоде 2021-202</w:t>
      </w:r>
      <w:r w:rsidR="000866D8" w:rsidRPr="000866D8">
        <w:rPr>
          <w:rFonts w:ascii="Times New Roman" w:eastAsia="Times New Roman" w:hAnsi="Times New Roman" w:cs="Times New Roman"/>
          <w:sz w:val="24"/>
          <w:szCs w:val="24"/>
        </w:rPr>
        <w:t>3</w:t>
      </w:r>
      <w:r w:rsidRPr="000866D8">
        <w:rPr>
          <w:rFonts w:ascii="Times New Roman" w:eastAsia="Times New Roman" w:hAnsi="Times New Roman" w:cs="Times New Roman"/>
          <w:sz w:val="24"/>
          <w:szCs w:val="24"/>
        </w:rPr>
        <w:t xml:space="preserve"> годы темпы роста заработной платы крупных и средних предприятий составляют по консервативному варианту 101,05%, по базовому варианту – 106,2-106,4%, по целевому -107,1-107,7%.</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Численность безработных на 1 января 2020 года</w:t>
      </w:r>
      <w:r w:rsidRPr="00AA45FA">
        <w:rPr>
          <w:rFonts w:ascii="Times New Roman" w:eastAsia="Times New Roman" w:hAnsi="Times New Roman" w:cs="Times New Roman"/>
          <w:sz w:val="24"/>
          <w:szCs w:val="24"/>
        </w:rPr>
        <w:t xml:space="preserve"> составила 339 человек, что на 131 человек меньше, чем по состоянию на 1 января 2019 года. Уровень зарегистрированной безработицы составил 0,66%.</w:t>
      </w:r>
    </w:p>
    <w:p w:rsidR="00FF14EA" w:rsidRPr="000866D8"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lastRenderedPageBreak/>
        <w:t xml:space="preserve">С начала 2020 года наблюдается увеличение  численности безработных. Резкий рост уровня безработицы в период действия режима повышенной готовности </w:t>
      </w:r>
      <w:r w:rsidRPr="000866D8">
        <w:rPr>
          <w:rFonts w:ascii="Times New Roman" w:eastAsia="Times New Roman" w:hAnsi="Times New Roman" w:cs="Times New Roman"/>
          <w:sz w:val="24"/>
          <w:szCs w:val="24"/>
        </w:rPr>
        <w:t xml:space="preserve">в связи с угрозой распространения новой </w:t>
      </w:r>
      <w:proofErr w:type="spellStart"/>
      <w:r w:rsidRPr="000866D8">
        <w:rPr>
          <w:rFonts w:ascii="Times New Roman" w:eastAsia="Times New Roman" w:hAnsi="Times New Roman" w:cs="Times New Roman"/>
          <w:sz w:val="24"/>
          <w:szCs w:val="24"/>
        </w:rPr>
        <w:t>коронавирусной</w:t>
      </w:r>
      <w:proofErr w:type="spellEnd"/>
      <w:r w:rsidRPr="000866D8">
        <w:rPr>
          <w:rFonts w:ascii="Times New Roman" w:eastAsia="Times New Roman" w:hAnsi="Times New Roman" w:cs="Times New Roman"/>
          <w:sz w:val="24"/>
          <w:szCs w:val="24"/>
        </w:rPr>
        <w:t xml:space="preserve"> инфекции отмечается с апреля 2020 года.  На момент составления прогноза наибольший пик зарегистрирован  в  августе (на 01.05.2020г. - 750 чел., на 01.09.2020г- 2194 чел.). По итогам 2020 года уровень безработицы прогнозируется на уровне 2,36 %. </w:t>
      </w:r>
    </w:p>
    <w:p w:rsidR="00FF14EA" w:rsidRPr="000866D8" w:rsidRDefault="00FF14EA" w:rsidP="00FF14EA">
      <w:pPr>
        <w:tabs>
          <w:tab w:val="left" w:pos="567"/>
          <w:tab w:val="left" w:pos="709"/>
        </w:tabs>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 xml:space="preserve">В 2020 году по сведениям, полученным от работодателей, значительных высвобождений на предприятиях города и района в МР Белебеевский район РБ не ожидается, как это было в прошлые годы (2017- 296, 2018 г.- 185 чел., 2019 г.-41 чел.). От 10 предприятий и учреждений  муниципального района получены сведения о  возможных сокращениях персонала в 2020 году в количестве 53 чел.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Однако, по предварительным прогнозам возможно ухудшение</w:t>
      </w:r>
      <w:r w:rsidRPr="00AA45FA">
        <w:rPr>
          <w:rFonts w:ascii="Times New Roman" w:eastAsia="Times New Roman" w:hAnsi="Times New Roman" w:cs="Times New Roman"/>
          <w:sz w:val="24"/>
          <w:szCs w:val="24"/>
        </w:rPr>
        <w:t xml:space="preserve"> ситуации на предприятиях города в связи со снижением спроса на выпускаемую предприятиями продукцию по причине обострения эпидемиологической обстановки в мире, вызванной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инфекцией, что может повлечь в свою очередь массовые увольнения работников.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Целевой и базовый вариант предполагает улучшение ситуации на рынке труда в результате открытия предприятий, расширения производства, и, соответственно, создания новых рабочих мест. Консервативный вариант предполагает уменьшение количества рабочих мест, высвобождение работников в первую очередь, в машиностроении.</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Все вышеперечисленные  факторы учтены при разработке прогноза на плановый период  до 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года.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Наибольшую долю в структуре доходов населения муниципального района составляет оплата труда наемных работников (в 2019 году – 39,3 %).</w:t>
      </w:r>
    </w:p>
    <w:p w:rsidR="00FF14EA" w:rsidRPr="000866D8" w:rsidRDefault="00FF14EA" w:rsidP="00FF14EA">
      <w:pPr>
        <w:spacing w:after="0" w:line="240" w:lineRule="auto"/>
        <w:ind w:firstLine="709"/>
        <w:jc w:val="both"/>
        <w:rPr>
          <w:rFonts w:ascii="Times New Roman" w:eastAsia="Times New Roman" w:hAnsi="Times New Roman" w:cs="Times New Roman"/>
          <w:sz w:val="24"/>
          <w:szCs w:val="24"/>
        </w:rPr>
      </w:pPr>
      <w:r w:rsidRPr="000866D8">
        <w:rPr>
          <w:rFonts w:ascii="Times New Roman" w:eastAsia="Times New Roman" w:hAnsi="Times New Roman" w:cs="Times New Roman"/>
          <w:sz w:val="24"/>
          <w:szCs w:val="24"/>
        </w:rPr>
        <w:t xml:space="preserve">Оплата труда в прогнозируемом периоде (2020-2023 годы) также останется наиболее ёмким источником доходов населения (на уровне 36,79 – 38,22 %). Чем устойчивее будет положение действующих на территории предприятий, организаций, тем уровень (и доля) заработной платы в общей сумме доходов будет выше.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Снижение доли зарплаты в 2019 (2019 - 39,3%, 2018 – 40,6%)  году сопровождается незначительным ростом доли доходов от предпринимательской деятельности, так как трудовые ресурсы, высвобождаясь из крупных (средних) предприятий, перемещаются в большей степени в субъекты предпринимательства.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Также следует отметить, что на последующий плановый период 2021-202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годов прогнозируется рост доходов от предпринимательской деятельности в связи с запланированным ростом числа субъектов малого и среднего предпринимательства. Прогнозируемая положительная динамика обусловлена мерами поддержки предпринимательства, активно принимаемыми на всех уровнях власти. Так,  на местном уровне реализуется две муниципальные программы поддержки и развития предпринимательства, которые обобщают усилия органов местного самоуправления, общественных объединений в сфере поддержки малого предпринимательства и активизации малого бизнеса, особенно в части создания инфраструктуры поддержки малого и среднего предпринимательства.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На республиканском уровне утверждены региональные проекты в сфере малого и среднего предпринимательства, реализация мероприятий которых предусмотрены как на республиканском, так и на местном уровне. Все эти меры буду способствовать дальнейшему развитию малого и среднего предпринимательства.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Постановлением Правительства Российской Федерации от 29 декабря 2016 года № 1536 город Белебей признан территорией опережающего социально - экономического развития (ТОСЭР). В 2020 и последующие 2021 - 202</w:t>
      </w:r>
      <w:r>
        <w:rPr>
          <w:rFonts w:ascii="Times New Roman" w:eastAsia="Times New Roman" w:hAnsi="Times New Roman" w:cs="Times New Roman"/>
          <w:sz w:val="24"/>
          <w:szCs w:val="24"/>
        </w:rPr>
        <w:t>3</w:t>
      </w:r>
      <w:r w:rsidRPr="00AA45FA">
        <w:rPr>
          <w:rFonts w:ascii="Times New Roman" w:eastAsia="Times New Roman" w:hAnsi="Times New Roman" w:cs="Times New Roman"/>
          <w:sz w:val="24"/>
          <w:szCs w:val="24"/>
        </w:rPr>
        <w:t xml:space="preserve"> годы прогнозируется дальнейший рост инвестиций в экономику муниципального района в связи с привлечением новых резидентов ТОСЭР и как следствие -  создание новых рабочих мест и получение гарантированных доходов населения муниципального района.</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Численность населения с денежными доходами ниже прожиточного минимума в 2019 году составила 12,5 %. Недостаточно активное сокращение доли граждан данной категории </w:t>
      </w:r>
      <w:r w:rsidRPr="00AA45FA">
        <w:rPr>
          <w:rFonts w:ascii="Times New Roman" w:eastAsia="Times New Roman" w:hAnsi="Times New Roman" w:cs="Times New Roman"/>
          <w:sz w:val="24"/>
          <w:szCs w:val="24"/>
        </w:rPr>
        <w:lastRenderedPageBreak/>
        <w:t xml:space="preserve">объясняется тем, что при росте среднемесячных доходов в целом по району, наблюдается значительное расслоение населения по уровню доходов. В 2020 году значение показателя планируется на уровне 2019 года, т.к.  по причине мер, принятых в связи с угрозой распространения новой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инфекции (режим самоизоляции, ограничения в деятельности предприятий, организаций, индивидуальных предпринимателей  отдельных отраслей экономики), отмечается отрицательное влияние на доходы населения.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 xml:space="preserve">В 2020 году реальные располагаемые денежные доходы населения прогнозируются на уровне 98,9%. Значение показателя обусловлено в первую очередь все тем же влиянием сложившейся ситуации в связи угрозой распространения новой </w:t>
      </w:r>
      <w:proofErr w:type="spellStart"/>
      <w:r w:rsidRPr="00AA45FA">
        <w:rPr>
          <w:rFonts w:ascii="Times New Roman" w:eastAsia="Times New Roman" w:hAnsi="Times New Roman" w:cs="Times New Roman"/>
          <w:sz w:val="24"/>
          <w:szCs w:val="24"/>
        </w:rPr>
        <w:t>коронавирусной</w:t>
      </w:r>
      <w:proofErr w:type="spellEnd"/>
      <w:r w:rsidRPr="00AA45FA">
        <w:rPr>
          <w:rFonts w:ascii="Times New Roman" w:eastAsia="Times New Roman" w:hAnsi="Times New Roman" w:cs="Times New Roman"/>
          <w:sz w:val="24"/>
          <w:szCs w:val="24"/>
        </w:rPr>
        <w:t xml:space="preserve"> инфекции. И хотя в текущем периоде отмечается  увеличение  государственной поддержки населения, все же этого недостаточно  для значительного роста реальных располагаемых денежных доходов населения. </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Так как уровень трансфертов определяется реализацией государственных программ социальной поддержки граждан, демографической структурой населения района, доля их продолжает оставаться значительной. Пенсионные выплаты составляют около 82 % социальных трансфертов.</w:t>
      </w:r>
    </w:p>
    <w:p w:rsidR="00FF14EA" w:rsidRPr="00AA45FA" w:rsidRDefault="00FF14EA" w:rsidP="00FF14EA">
      <w:pPr>
        <w:spacing w:after="0" w:line="240" w:lineRule="auto"/>
        <w:ind w:firstLine="709"/>
        <w:jc w:val="both"/>
        <w:rPr>
          <w:rFonts w:ascii="Times New Roman" w:eastAsia="Times New Roman" w:hAnsi="Times New Roman" w:cs="Times New Roman"/>
          <w:sz w:val="24"/>
          <w:szCs w:val="24"/>
        </w:rPr>
      </w:pPr>
      <w:r w:rsidRPr="00AA45FA">
        <w:rPr>
          <w:rFonts w:ascii="Times New Roman" w:eastAsia="Times New Roman" w:hAnsi="Times New Roman" w:cs="Times New Roman"/>
          <w:sz w:val="24"/>
          <w:szCs w:val="24"/>
        </w:rPr>
        <w:t>Наибольший удельный вес в структуре расходов населения составляют  расходы на покупку товаров и оплату услуг (по итогам 2019 года – 93 %).  В прогнозируемом периоде доля расходов населения на покупку товаров и оплату услуг будет изменяться незначительно, оставаясь подавляюще большой в структуре расходов населения.</w:t>
      </w:r>
    </w:p>
    <w:p w:rsidR="00FF14EA" w:rsidRPr="003355FD" w:rsidRDefault="00FF14EA" w:rsidP="00FF14EA">
      <w:pPr>
        <w:spacing w:after="0" w:line="240" w:lineRule="auto"/>
        <w:ind w:firstLine="709"/>
        <w:jc w:val="both"/>
        <w:rPr>
          <w:rFonts w:ascii="Times New Roman" w:eastAsia="Times New Roman" w:hAnsi="Times New Roman" w:cs="Times New Roman"/>
          <w:sz w:val="24"/>
          <w:szCs w:val="24"/>
        </w:rPr>
      </w:pPr>
      <w:r w:rsidRPr="003355FD">
        <w:rPr>
          <w:rFonts w:ascii="Times New Roman" w:eastAsia="Times New Roman" w:hAnsi="Times New Roman" w:cs="Times New Roman"/>
          <w:sz w:val="24"/>
          <w:szCs w:val="24"/>
        </w:rPr>
        <w:t>Эти факторы заложены в основу прогноза.</w:t>
      </w:r>
    </w:p>
    <w:p w:rsidR="00FF14EA" w:rsidRPr="003355FD" w:rsidRDefault="00FF14EA" w:rsidP="00FF14EA">
      <w:pPr>
        <w:spacing w:after="0" w:line="240" w:lineRule="auto"/>
        <w:ind w:firstLine="709"/>
        <w:jc w:val="both"/>
        <w:rPr>
          <w:rFonts w:ascii="Times New Roman" w:eastAsia="Times New Roman" w:hAnsi="Times New Roman" w:cs="Times New Roman"/>
          <w:sz w:val="24"/>
          <w:szCs w:val="24"/>
        </w:rPr>
      </w:pPr>
      <w:r w:rsidRPr="003355FD">
        <w:rPr>
          <w:rFonts w:ascii="Times New Roman" w:eastAsia="Times New Roman" w:hAnsi="Times New Roman" w:cs="Times New Roman"/>
          <w:sz w:val="24"/>
          <w:szCs w:val="24"/>
        </w:rPr>
        <w:t>К 2023 году среднемесячные доходы населения по базовому варианту вырастут по сравнению с 2019 годом на 18,9 %. В соответствии с данными темпами реальные располагаемые денежные доходы населения вырастут на 0,7%.</w:t>
      </w:r>
    </w:p>
    <w:p w:rsidR="00FF14EA" w:rsidRPr="003355FD" w:rsidRDefault="00FF14EA" w:rsidP="00FF14EA">
      <w:pPr>
        <w:spacing w:after="0" w:line="240" w:lineRule="auto"/>
        <w:ind w:firstLine="709"/>
        <w:jc w:val="both"/>
        <w:rPr>
          <w:rFonts w:ascii="Times New Roman" w:eastAsia="Times New Roman" w:hAnsi="Times New Roman" w:cs="Times New Roman"/>
          <w:sz w:val="24"/>
          <w:szCs w:val="24"/>
        </w:rPr>
      </w:pPr>
      <w:r w:rsidRPr="003355FD">
        <w:rPr>
          <w:rFonts w:ascii="Times New Roman" w:eastAsia="Times New Roman" w:hAnsi="Times New Roman" w:cs="Times New Roman"/>
          <w:sz w:val="24"/>
          <w:szCs w:val="24"/>
        </w:rPr>
        <w:t xml:space="preserve">Все вышеперечисленные  факторы учтены при разработке прогноза на плановый период  до 2023 года.  </w:t>
      </w:r>
    </w:p>
    <w:p w:rsidR="00315CE3" w:rsidRPr="004E645E" w:rsidRDefault="00315CE3" w:rsidP="00AA45FA">
      <w:pPr>
        <w:pStyle w:val="a4"/>
        <w:ind w:firstLine="709"/>
        <w:jc w:val="center"/>
        <w:rPr>
          <w:sz w:val="24"/>
        </w:rPr>
      </w:pPr>
      <w:r w:rsidRPr="004E645E">
        <w:rPr>
          <w:sz w:val="24"/>
        </w:rPr>
        <w:t>Сельское хозяйство</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По состоянию на 1 октября 2020 года в муниципальном районе Белебеевский район РБ производством сельскохозяйственной продукции занимаются 15 сельскохозяйственных организаций (в том числе 2 сельскохозяйственных производственных кооператива, 1 потребительский кооператив), 128 крестьянских (фермерских) хозяйств, а также 8034 личных подворий населения.</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За 2019 год валовой продукции сельского хозяйства во всех категориях хозяйств муниципального района произведено на сумму 2136,871 млн. рублей в действующих ценах или 99,5% к уровню 2018 года в сопоставимых ценах, в том числе:</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по сельскохозяйственным предприятиям – 438,914 млн. рублей (97,7% к 2018 году в сопоставимых ценах);</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по крестьянским (фермерским) хозяйствам – 520,251 млн. рублей (99,1%);</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по хозяйствам населения – 1177,706 млн. рублей (100,3%).</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Объем произведенной продукции растениеводства составил 1076,709 млн. рублей или 50,4% в общем объеме валовой продукции сельского хозяйства. Индекс производства продукции растениеводства в сопоставимых ценах составил 99,1%.</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Производство основной продукции растениеводства представлено в таблице 1.</w:t>
      </w: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p>
    <w:p w:rsidR="004E645E" w:rsidRPr="004E645E" w:rsidRDefault="004E645E" w:rsidP="004E645E">
      <w:pPr>
        <w:spacing w:after="0" w:line="240" w:lineRule="auto"/>
        <w:ind w:firstLine="709"/>
        <w:jc w:val="both"/>
        <w:rPr>
          <w:rFonts w:ascii="Times New Roman" w:eastAsia="Times New Roman" w:hAnsi="Times New Roman" w:cs="Times New Roman"/>
          <w:sz w:val="24"/>
          <w:szCs w:val="24"/>
        </w:rPr>
      </w:pPr>
      <w:r w:rsidRPr="004E645E">
        <w:rPr>
          <w:rFonts w:ascii="Times New Roman" w:eastAsia="Times New Roman" w:hAnsi="Times New Roman" w:cs="Times New Roman"/>
          <w:sz w:val="24"/>
          <w:szCs w:val="24"/>
        </w:rPr>
        <w:t>Таблица 1. Производство основной продукции растениеводства</w:t>
      </w:r>
    </w:p>
    <w:tbl>
      <w:tblPr>
        <w:tblStyle w:val="a9"/>
        <w:tblW w:w="0" w:type="auto"/>
        <w:jc w:val="center"/>
        <w:tblLook w:val="04A0"/>
      </w:tblPr>
      <w:tblGrid>
        <w:gridCol w:w="540"/>
        <w:gridCol w:w="2493"/>
        <w:gridCol w:w="818"/>
        <w:gridCol w:w="1644"/>
        <w:gridCol w:w="1308"/>
        <w:gridCol w:w="1995"/>
      </w:tblGrid>
      <w:tr w:rsidR="004E645E" w:rsidRPr="00E93AB1" w:rsidTr="00D8728D">
        <w:trPr>
          <w:jc w:val="center"/>
        </w:trPr>
        <w:tc>
          <w:tcPr>
            <w:tcW w:w="540" w:type="dxa"/>
            <w:vAlign w:val="center"/>
          </w:tcPr>
          <w:p w:rsidR="004E645E" w:rsidRPr="00E93AB1" w:rsidRDefault="004E645E" w:rsidP="005F0D55">
            <w:pPr>
              <w:jc w:val="center"/>
            </w:pPr>
            <w:r w:rsidRPr="00E93AB1">
              <w:t xml:space="preserve">№ </w:t>
            </w:r>
            <w:proofErr w:type="spellStart"/>
            <w:proofErr w:type="gramStart"/>
            <w:r w:rsidRPr="00E93AB1">
              <w:t>п</w:t>
            </w:r>
            <w:proofErr w:type="spellEnd"/>
            <w:proofErr w:type="gramEnd"/>
            <w:r w:rsidRPr="00E93AB1">
              <w:t>/</w:t>
            </w:r>
            <w:proofErr w:type="spellStart"/>
            <w:r w:rsidRPr="00E93AB1">
              <w:t>п</w:t>
            </w:r>
            <w:proofErr w:type="spellEnd"/>
          </w:p>
        </w:tc>
        <w:tc>
          <w:tcPr>
            <w:tcW w:w="2493" w:type="dxa"/>
            <w:vAlign w:val="center"/>
          </w:tcPr>
          <w:p w:rsidR="004E645E" w:rsidRPr="00E93AB1" w:rsidRDefault="004E645E" w:rsidP="005F0D55">
            <w:pPr>
              <w:jc w:val="center"/>
            </w:pPr>
            <w:r w:rsidRPr="00E93AB1">
              <w:t>Наименование показателя</w:t>
            </w:r>
          </w:p>
        </w:tc>
        <w:tc>
          <w:tcPr>
            <w:tcW w:w="818" w:type="dxa"/>
            <w:vAlign w:val="center"/>
          </w:tcPr>
          <w:p w:rsidR="004E645E" w:rsidRPr="00E93AB1" w:rsidRDefault="004E645E" w:rsidP="005F0D55">
            <w:pPr>
              <w:jc w:val="center"/>
            </w:pPr>
            <w:r w:rsidRPr="00E93AB1">
              <w:t>Ед.</w:t>
            </w:r>
          </w:p>
          <w:p w:rsidR="004E645E" w:rsidRPr="00E93AB1" w:rsidRDefault="004E645E" w:rsidP="005F0D55">
            <w:pPr>
              <w:jc w:val="center"/>
            </w:pPr>
            <w:proofErr w:type="spellStart"/>
            <w:r w:rsidRPr="00E93AB1">
              <w:t>изм</w:t>
            </w:r>
            <w:proofErr w:type="spellEnd"/>
            <w:r w:rsidRPr="00E93AB1">
              <w:t>.</w:t>
            </w:r>
          </w:p>
        </w:tc>
        <w:tc>
          <w:tcPr>
            <w:tcW w:w="1644" w:type="dxa"/>
            <w:vAlign w:val="center"/>
          </w:tcPr>
          <w:p w:rsidR="004E645E" w:rsidRPr="00E93AB1" w:rsidRDefault="004E645E" w:rsidP="005F0D55">
            <w:pPr>
              <w:spacing w:line="276" w:lineRule="auto"/>
              <w:jc w:val="center"/>
            </w:pPr>
            <w:r w:rsidRPr="00E93AB1">
              <w:t>201</w:t>
            </w:r>
            <w:r>
              <w:t>8</w:t>
            </w:r>
            <w:r w:rsidRPr="00E93AB1">
              <w:t>г.</w:t>
            </w:r>
          </w:p>
        </w:tc>
        <w:tc>
          <w:tcPr>
            <w:tcW w:w="1308" w:type="dxa"/>
            <w:vAlign w:val="center"/>
          </w:tcPr>
          <w:p w:rsidR="004E645E" w:rsidRPr="00E93AB1" w:rsidRDefault="004E645E" w:rsidP="005F0D55">
            <w:pPr>
              <w:spacing w:line="276" w:lineRule="auto"/>
              <w:jc w:val="center"/>
            </w:pPr>
            <w:r w:rsidRPr="00E93AB1">
              <w:t>201</w:t>
            </w:r>
            <w:r>
              <w:t>9</w:t>
            </w:r>
            <w:r w:rsidRPr="00E93AB1">
              <w:t>г.</w:t>
            </w:r>
          </w:p>
        </w:tc>
        <w:tc>
          <w:tcPr>
            <w:tcW w:w="1995" w:type="dxa"/>
            <w:vAlign w:val="center"/>
          </w:tcPr>
          <w:p w:rsidR="004E645E" w:rsidRPr="00E93AB1" w:rsidRDefault="004E645E" w:rsidP="005F0D55">
            <w:pPr>
              <w:spacing w:line="276" w:lineRule="auto"/>
              <w:jc w:val="center"/>
            </w:pPr>
            <w:r w:rsidRPr="00E93AB1">
              <w:t>201</w:t>
            </w:r>
            <w:r>
              <w:t>9</w:t>
            </w:r>
            <w:r w:rsidRPr="00E93AB1">
              <w:t>г. в % к 201</w:t>
            </w:r>
            <w:r>
              <w:t>8</w:t>
            </w:r>
            <w:r w:rsidRPr="00E93AB1">
              <w:t>г.</w:t>
            </w:r>
          </w:p>
        </w:tc>
      </w:tr>
      <w:tr w:rsidR="004E645E" w:rsidRPr="00E93AB1" w:rsidTr="00D8728D">
        <w:trPr>
          <w:jc w:val="center"/>
        </w:trPr>
        <w:tc>
          <w:tcPr>
            <w:tcW w:w="540" w:type="dxa"/>
            <w:vAlign w:val="center"/>
          </w:tcPr>
          <w:p w:rsidR="004E645E" w:rsidRPr="00E93AB1" w:rsidRDefault="004E645E" w:rsidP="005F0D55">
            <w:pPr>
              <w:jc w:val="center"/>
            </w:pPr>
            <w:r w:rsidRPr="00E93AB1">
              <w:t>1</w:t>
            </w:r>
          </w:p>
        </w:tc>
        <w:tc>
          <w:tcPr>
            <w:tcW w:w="2493" w:type="dxa"/>
            <w:vAlign w:val="center"/>
          </w:tcPr>
          <w:p w:rsidR="004E645E" w:rsidRPr="00E93AB1" w:rsidRDefault="004E645E" w:rsidP="005F0D55">
            <w:r w:rsidRPr="00E93AB1">
              <w:t>Зерно</w:t>
            </w:r>
            <w:r>
              <w:t xml:space="preserve"> (в весе после доработки)</w:t>
            </w:r>
          </w:p>
        </w:tc>
        <w:tc>
          <w:tcPr>
            <w:tcW w:w="818" w:type="dxa"/>
            <w:vAlign w:val="center"/>
          </w:tcPr>
          <w:p w:rsidR="004E645E" w:rsidRPr="00E93AB1" w:rsidRDefault="004E645E" w:rsidP="005F0D55">
            <w:pPr>
              <w:jc w:val="center"/>
            </w:pPr>
            <w:r>
              <w:t>тонн</w:t>
            </w:r>
          </w:p>
        </w:tc>
        <w:tc>
          <w:tcPr>
            <w:tcW w:w="1644" w:type="dxa"/>
            <w:vAlign w:val="center"/>
          </w:tcPr>
          <w:p w:rsidR="004E645E" w:rsidRPr="00E93AB1" w:rsidRDefault="004E645E" w:rsidP="005F0D55">
            <w:pPr>
              <w:spacing w:line="276" w:lineRule="auto"/>
              <w:jc w:val="center"/>
            </w:pPr>
            <w:r>
              <w:t>37120,0</w:t>
            </w:r>
          </w:p>
        </w:tc>
        <w:tc>
          <w:tcPr>
            <w:tcW w:w="1308" w:type="dxa"/>
            <w:vAlign w:val="center"/>
          </w:tcPr>
          <w:p w:rsidR="004E645E" w:rsidRPr="00E93AB1" w:rsidRDefault="004E645E" w:rsidP="005F0D55">
            <w:pPr>
              <w:spacing w:line="276" w:lineRule="auto"/>
              <w:jc w:val="center"/>
            </w:pPr>
            <w:r>
              <w:t>38598,0</w:t>
            </w:r>
          </w:p>
        </w:tc>
        <w:tc>
          <w:tcPr>
            <w:tcW w:w="1995" w:type="dxa"/>
            <w:vAlign w:val="center"/>
          </w:tcPr>
          <w:p w:rsidR="004E645E" w:rsidRPr="00E93AB1" w:rsidRDefault="004E645E" w:rsidP="005F0D55">
            <w:pPr>
              <w:spacing w:line="276" w:lineRule="auto"/>
              <w:jc w:val="center"/>
            </w:pPr>
            <w:r>
              <w:t>104,0</w:t>
            </w:r>
          </w:p>
        </w:tc>
      </w:tr>
      <w:tr w:rsidR="004E645E" w:rsidRPr="00E93AB1" w:rsidTr="00D8728D">
        <w:trPr>
          <w:jc w:val="center"/>
        </w:trPr>
        <w:tc>
          <w:tcPr>
            <w:tcW w:w="540" w:type="dxa"/>
            <w:vAlign w:val="center"/>
          </w:tcPr>
          <w:p w:rsidR="004E645E" w:rsidRPr="00E93AB1" w:rsidRDefault="004E645E" w:rsidP="005F0D55">
            <w:pPr>
              <w:jc w:val="center"/>
            </w:pPr>
            <w:r w:rsidRPr="00E93AB1">
              <w:t>2</w:t>
            </w:r>
          </w:p>
        </w:tc>
        <w:tc>
          <w:tcPr>
            <w:tcW w:w="2493" w:type="dxa"/>
            <w:vAlign w:val="center"/>
          </w:tcPr>
          <w:p w:rsidR="004E645E" w:rsidRPr="00E93AB1" w:rsidRDefault="004E645E" w:rsidP="005F0D55">
            <w:pPr>
              <w:tabs>
                <w:tab w:val="left" w:pos="243"/>
                <w:tab w:val="center" w:pos="1860"/>
              </w:tabs>
            </w:pPr>
            <w:r w:rsidRPr="00E93AB1">
              <w:t>Картофель</w:t>
            </w:r>
          </w:p>
        </w:tc>
        <w:tc>
          <w:tcPr>
            <w:tcW w:w="818" w:type="dxa"/>
            <w:vAlign w:val="center"/>
          </w:tcPr>
          <w:p w:rsidR="004E645E" w:rsidRPr="00E93AB1" w:rsidRDefault="004E645E" w:rsidP="005F0D55">
            <w:pPr>
              <w:jc w:val="center"/>
            </w:pPr>
            <w:r w:rsidRPr="00E93AB1">
              <w:t>тонн</w:t>
            </w:r>
          </w:p>
        </w:tc>
        <w:tc>
          <w:tcPr>
            <w:tcW w:w="1644" w:type="dxa"/>
            <w:vAlign w:val="center"/>
          </w:tcPr>
          <w:p w:rsidR="004E645E" w:rsidRPr="00E93AB1" w:rsidRDefault="004E645E" w:rsidP="005F0D55">
            <w:pPr>
              <w:spacing w:line="276" w:lineRule="auto"/>
              <w:jc w:val="center"/>
            </w:pPr>
            <w:r>
              <w:t>25518,8</w:t>
            </w:r>
          </w:p>
        </w:tc>
        <w:tc>
          <w:tcPr>
            <w:tcW w:w="1308" w:type="dxa"/>
            <w:vAlign w:val="center"/>
          </w:tcPr>
          <w:p w:rsidR="004E645E" w:rsidRPr="00E93AB1" w:rsidRDefault="004E645E" w:rsidP="005F0D55">
            <w:pPr>
              <w:spacing w:line="276" w:lineRule="auto"/>
              <w:jc w:val="center"/>
            </w:pPr>
            <w:r>
              <w:t>25576,4</w:t>
            </w:r>
          </w:p>
        </w:tc>
        <w:tc>
          <w:tcPr>
            <w:tcW w:w="1995" w:type="dxa"/>
            <w:vAlign w:val="center"/>
          </w:tcPr>
          <w:p w:rsidR="004E645E" w:rsidRPr="00E93AB1" w:rsidRDefault="004E645E" w:rsidP="005F0D55">
            <w:pPr>
              <w:spacing w:line="276" w:lineRule="auto"/>
              <w:jc w:val="center"/>
            </w:pPr>
            <w:r>
              <w:t>100,2</w:t>
            </w:r>
          </w:p>
        </w:tc>
      </w:tr>
      <w:tr w:rsidR="004E645E" w:rsidRPr="00E93AB1" w:rsidTr="00D8728D">
        <w:trPr>
          <w:jc w:val="center"/>
        </w:trPr>
        <w:tc>
          <w:tcPr>
            <w:tcW w:w="540" w:type="dxa"/>
            <w:vAlign w:val="center"/>
          </w:tcPr>
          <w:p w:rsidR="004E645E" w:rsidRPr="00E93AB1" w:rsidRDefault="004E645E" w:rsidP="005F0D55">
            <w:pPr>
              <w:jc w:val="center"/>
            </w:pPr>
            <w:r w:rsidRPr="00E93AB1">
              <w:t>3</w:t>
            </w:r>
          </w:p>
        </w:tc>
        <w:tc>
          <w:tcPr>
            <w:tcW w:w="2493" w:type="dxa"/>
            <w:vAlign w:val="center"/>
          </w:tcPr>
          <w:p w:rsidR="004E645E" w:rsidRPr="00E93AB1" w:rsidRDefault="004E645E" w:rsidP="005F0D55">
            <w:r w:rsidRPr="00E93AB1">
              <w:t xml:space="preserve">Овощи </w:t>
            </w:r>
            <w:r>
              <w:t>всех видов</w:t>
            </w:r>
          </w:p>
        </w:tc>
        <w:tc>
          <w:tcPr>
            <w:tcW w:w="818" w:type="dxa"/>
            <w:vAlign w:val="center"/>
          </w:tcPr>
          <w:p w:rsidR="004E645E" w:rsidRPr="00E93AB1" w:rsidRDefault="004E645E" w:rsidP="005F0D55">
            <w:pPr>
              <w:jc w:val="center"/>
            </w:pPr>
            <w:r w:rsidRPr="00E93AB1">
              <w:t>тонн</w:t>
            </w:r>
          </w:p>
        </w:tc>
        <w:tc>
          <w:tcPr>
            <w:tcW w:w="1644" w:type="dxa"/>
            <w:vAlign w:val="center"/>
          </w:tcPr>
          <w:p w:rsidR="004E645E" w:rsidRPr="00E93AB1" w:rsidRDefault="004E645E" w:rsidP="005F0D55">
            <w:pPr>
              <w:spacing w:line="276" w:lineRule="auto"/>
              <w:jc w:val="center"/>
            </w:pPr>
            <w:r>
              <w:t>5578,5</w:t>
            </w:r>
          </w:p>
        </w:tc>
        <w:tc>
          <w:tcPr>
            <w:tcW w:w="1308" w:type="dxa"/>
            <w:vAlign w:val="center"/>
          </w:tcPr>
          <w:p w:rsidR="004E645E" w:rsidRPr="00E93AB1" w:rsidRDefault="004E645E" w:rsidP="005F0D55">
            <w:pPr>
              <w:spacing w:line="276" w:lineRule="auto"/>
              <w:jc w:val="center"/>
            </w:pPr>
            <w:r>
              <w:t>5236,3</w:t>
            </w:r>
          </w:p>
        </w:tc>
        <w:tc>
          <w:tcPr>
            <w:tcW w:w="1995" w:type="dxa"/>
            <w:vAlign w:val="center"/>
          </w:tcPr>
          <w:p w:rsidR="004E645E" w:rsidRPr="00E93AB1" w:rsidRDefault="004E645E" w:rsidP="005F0D55">
            <w:pPr>
              <w:spacing w:line="276" w:lineRule="auto"/>
              <w:jc w:val="center"/>
            </w:pPr>
            <w:r>
              <w:t>93,9</w:t>
            </w:r>
          </w:p>
        </w:tc>
      </w:tr>
      <w:tr w:rsidR="004E645E" w:rsidRPr="00E93AB1" w:rsidTr="00D8728D">
        <w:trPr>
          <w:jc w:val="center"/>
        </w:trPr>
        <w:tc>
          <w:tcPr>
            <w:tcW w:w="540" w:type="dxa"/>
            <w:vAlign w:val="center"/>
          </w:tcPr>
          <w:p w:rsidR="004E645E" w:rsidRPr="00E93AB1" w:rsidRDefault="004E645E" w:rsidP="005F0D55">
            <w:pPr>
              <w:jc w:val="center"/>
            </w:pPr>
            <w:r w:rsidRPr="00E93AB1">
              <w:t>4</w:t>
            </w:r>
          </w:p>
        </w:tc>
        <w:tc>
          <w:tcPr>
            <w:tcW w:w="2493" w:type="dxa"/>
            <w:vAlign w:val="center"/>
          </w:tcPr>
          <w:p w:rsidR="004E645E" w:rsidRPr="00E93AB1" w:rsidRDefault="004E645E" w:rsidP="005F0D55">
            <w:r w:rsidRPr="00E93AB1">
              <w:t>Подсолнечник</w:t>
            </w:r>
          </w:p>
        </w:tc>
        <w:tc>
          <w:tcPr>
            <w:tcW w:w="818" w:type="dxa"/>
            <w:vAlign w:val="center"/>
          </w:tcPr>
          <w:p w:rsidR="004E645E" w:rsidRPr="00E93AB1" w:rsidRDefault="004E645E" w:rsidP="005F0D55">
            <w:pPr>
              <w:jc w:val="center"/>
            </w:pPr>
            <w:r w:rsidRPr="00E93AB1">
              <w:t>тонн</w:t>
            </w:r>
          </w:p>
        </w:tc>
        <w:tc>
          <w:tcPr>
            <w:tcW w:w="1644" w:type="dxa"/>
            <w:vAlign w:val="center"/>
          </w:tcPr>
          <w:p w:rsidR="004E645E" w:rsidRPr="00E93AB1" w:rsidRDefault="004E645E" w:rsidP="005F0D55">
            <w:pPr>
              <w:spacing w:line="276" w:lineRule="auto"/>
              <w:jc w:val="center"/>
            </w:pPr>
            <w:r>
              <w:t>3332,0</w:t>
            </w:r>
          </w:p>
        </w:tc>
        <w:tc>
          <w:tcPr>
            <w:tcW w:w="1308" w:type="dxa"/>
            <w:vAlign w:val="center"/>
          </w:tcPr>
          <w:p w:rsidR="004E645E" w:rsidRPr="00E93AB1" w:rsidRDefault="004E645E" w:rsidP="005F0D55">
            <w:pPr>
              <w:spacing w:line="276" w:lineRule="auto"/>
              <w:jc w:val="center"/>
            </w:pPr>
            <w:r>
              <w:t>2893,0</w:t>
            </w:r>
          </w:p>
        </w:tc>
        <w:tc>
          <w:tcPr>
            <w:tcW w:w="1995" w:type="dxa"/>
            <w:vAlign w:val="center"/>
          </w:tcPr>
          <w:p w:rsidR="004E645E" w:rsidRPr="00E93AB1" w:rsidRDefault="004E645E" w:rsidP="005F0D55">
            <w:pPr>
              <w:spacing w:line="276" w:lineRule="auto"/>
              <w:jc w:val="center"/>
            </w:pPr>
            <w:r>
              <w:t>86,8</w:t>
            </w:r>
          </w:p>
        </w:tc>
      </w:tr>
    </w:tbl>
    <w:p w:rsidR="004E645E" w:rsidRPr="00826B0A" w:rsidRDefault="004E645E" w:rsidP="00826B0A">
      <w:pPr>
        <w:spacing w:after="0" w:line="240" w:lineRule="auto"/>
        <w:ind w:firstLine="709"/>
        <w:jc w:val="both"/>
        <w:rPr>
          <w:rFonts w:ascii="Times New Roman" w:hAnsi="Times New Roman" w:cs="Times New Roman"/>
          <w:sz w:val="24"/>
          <w:szCs w:val="24"/>
        </w:rPr>
      </w:pPr>
      <w:r w:rsidRPr="00826B0A">
        <w:rPr>
          <w:rFonts w:ascii="Times New Roman" w:hAnsi="Times New Roman" w:cs="Times New Roman"/>
          <w:sz w:val="24"/>
          <w:szCs w:val="24"/>
        </w:rPr>
        <w:lastRenderedPageBreak/>
        <w:t>В 2019 году по району выполнен целевой индикатор по производству зерна в объеме 38,598 тыс</w:t>
      </w:r>
      <w:proofErr w:type="gramStart"/>
      <w:r w:rsidRPr="00826B0A">
        <w:rPr>
          <w:rFonts w:ascii="Times New Roman" w:hAnsi="Times New Roman" w:cs="Times New Roman"/>
          <w:sz w:val="24"/>
          <w:szCs w:val="24"/>
        </w:rPr>
        <w:t>.т</w:t>
      </w:r>
      <w:proofErr w:type="gramEnd"/>
      <w:r w:rsidRPr="00826B0A">
        <w:rPr>
          <w:rFonts w:ascii="Times New Roman" w:hAnsi="Times New Roman" w:cs="Times New Roman"/>
          <w:sz w:val="24"/>
          <w:szCs w:val="24"/>
        </w:rPr>
        <w:t>онн, картофеля в объеме 25,5764 тыс.тонн. В то же время на снижение продукции растениеводства во всех категориях хозяйств повлияло снижение производства овощей всех видов на 342,2 тонн, подсолнечника на 439 тонн.</w:t>
      </w:r>
    </w:p>
    <w:p w:rsidR="004E645E" w:rsidRPr="00826B0A" w:rsidRDefault="004E645E" w:rsidP="00826B0A">
      <w:pPr>
        <w:spacing w:after="0" w:line="240" w:lineRule="auto"/>
        <w:ind w:firstLine="709"/>
        <w:jc w:val="both"/>
        <w:rPr>
          <w:rFonts w:ascii="Times New Roman" w:hAnsi="Times New Roman" w:cs="Times New Roman"/>
          <w:sz w:val="24"/>
          <w:szCs w:val="24"/>
        </w:rPr>
      </w:pPr>
      <w:r w:rsidRPr="00826B0A">
        <w:rPr>
          <w:rFonts w:ascii="Times New Roman" w:hAnsi="Times New Roman" w:cs="Times New Roman"/>
          <w:sz w:val="24"/>
          <w:szCs w:val="24"/>
        </w:rPr>
        <w:t>Продукции животноводства в 2019 году было произведено на сумму 1060,162 млн. рублей или 49,6% в общем объеме валовой продукции сельского хозяйства. Индекс производства продукции животноводства в сопоставимых ценах составил 99,9%.</w:t>
      </w:r>
    </w:p>
    <w:p w:rsidR="004E645E" w:rsidRPr="00826B0A" w:rsidRDefault="004E645E" w:rsidP="00826B0A">
      <w:pPr>
        <w:spacing w:after="0" w:line="240" w:lineRule="auto"/>
        <w:ind w:firstLine="709"/>
        <w:rPr>
          <w:rFonts w:ascii="Times New Roman" w:hAnsi="Times New Roman" w:cs="Times New Roman"/>
          <w:sz w:val="24"/>
          <w:szCs w:val="24"/>
        </w:rPr>
      </w:pPr>
      <w:r w:rsidRPr="00826B0A">
        <w:rPr>
          <w:rFonts w:ascii="Times New Roman" w:hAnsi="Times New Roman" w:cs="Times New Roman"/>
          <w:sz w:val="24"/>
          <w:szCs w:val="24"/>
        </w:rPr>
        <w:t>Производство основной продукции животноводства представлено в таблице 2.</w:t>
      </w:r>
    </w:p>
    <w:p w:rsidR="004E645E" w:rsidRPr="00826B0A" w:rsidRDefault="004E645E" w:rsidP="00826B0A">
      <w:pPr>
        <w:spacing w:after="0" w:line="240" w:lineRule="auto"/>
        <w:ind w:firstLine="709"/>
        <w:jc w:val="both"/>
        <w:rPr>
          <w:rFonts w:ascii="Times New Roman" w:hAnsi="Times New Roman" w:cs="Times New Roman"/>
          <w:sz w:val="24"/>
          <w:szCs w:val="24"/>
        </w:rPr>
      </w:pPr>
    </w:p>
    <w:p w:rsidR="004E645E" w:rsidRPr="00826B0A" w:rsidRDefault="004E645E" w:rsidP="00826B0A">
      <w:pPr>
        <w:spacing w:after="0" w:line="240" w:lineRule="auto"/>
        <w:ind w:firstLine="709"/>
        <w:jc w:val="center"/>
        <w:rPr>
          <w:rFonts w:ascii="Times New Roman" w:hAnsi="Times New Roman" w:cs="Times New Roman"/>
          <w:sz w:val="24"/>
          <w:szCs w:val="24"/>
        </w:rPr>
      </w:pPr>
      <w:r w:rsidRPr="00826B0A">
        <w:rPr>
          <w:rFonts w:ascii="Times New Roman" w:hAnsi="Times New Roman" w:cs="Times New Roman"/>
          <w:sz w:val="24"/>
          <w:szCs w:val="24"/>
        </w:rPr>
        <w:t>Таблица 2. Производство основной продукции животноводства</w:t>
      </w:r>
    </w:p>
    <w:tbl>
      <w:tblPr>
        <w:tblStyle w:val="a9"/>
        <w:tblW w:w="0" w:type="auto"/>
        <w:jc w:val="center"/>
        <w:tblLook w:val="04A0"/>
      </w:tblPr>
      <w:tblGrid>
        <w:gridCol w:w="537"/>
        <w:gridCol w:w="2441"/>
        <w:gridCol w:w="1097"/>
        <w:gridCol w:w="1516"/>
        <w:gridCol w:w="1466"/>
        <w:gridCol w:w="2017"/>
      </w:tblGrid>
      <w:tr w:rsidR="004E645E" w:rsidRPr="00E93AB1" w:rsidTr="00D8728D">
        <w:trPr>
          <w:tblHeader/>
          <w:jc w:val="center"/>
        </w:trPr>
        <w:tc>
          <w:tcPr>
            <w:tcW w:w="537" w:type="dxa"/>
            <w:vAlign w:val="center"/>
          </w:tcPr>
          <w:p w:rsidR="004E645E" w:rsidRPr="00E93AB1" w:rsidRDefault="004E645E" w:rsidP="005F0D55">
            <w:pPr>
              <w:jc w:val="center"/>
            </w:pPr>
            <w:r w:rsidRPr="00E93AB1">
              <w:t xml:space="preserve">№ </w:t>
            </w:r>
            <w:proofErr w:type="spellStart"/>
            <w:proofErr w:type="gramStart"/>
            <w:r w:rsidRPr="00E93AB1">
              <w:t>п</w:t>
            </w:r>
            <w:proofErr w:type="spellEnd"/>
            <w:proofErr w:type="gramEnd"/>
            <w:r w:rsidRPr="00E93AB1">
              <w:t>/</w:t>
            </w:r>
            <w:proofErr w:type="spellStart"/>
            <w:r w:rsidRPr="00E93AB1">
              <w:t>п</w:t>
            </w:r>
            <w:proofErr w:type="spellEnd"/>
          </w:p>
        </w:tc>
        <w:tc>
          <w:tcPr>
            <w:tcW w:w="2441" w:type="dxa"/>
            <w:vAlign w:val="center"/>
          </w:tcPr>
          <w:p w:rsidR="004E645E" w:rsidRPr="00E93AB1" w:rsidRDefault="004E645E" w:rsidP="005F0D55">
            <w:pPr>
              <w:jc w:val="center"/>
            </w:pPr>
            <w:r w:rsidRPr="00E93AB1">
              <w:t>Наименование показателя</w:t>
            </w:r>
          </w:p>
        </w:tc>
        <w:tc>
          <w:tcPr>
            <w:tcW w:w="1097" w:type="dxa"/>
            <w:vAlign w:val="center"/>
          </w:tcPr>
          <w:p w:rsidR="004E645E" w:rsidRPr="00E93AB1" w:rsidRDefault="004E645E" w:rsidP="005F0D55">
            <w:pPr>
              <w:jc w:val="center"/>
            </w:pPr>
            <w:r w:rsidRPr="00E93AB1">
              <w:t>Ед.</w:t>
            </w:r>
          </w:p>
          <w:p w:rsidR="004E645E" w:rsidRPr="00E93AB1" w:rsidRDefault="004E645E" w:rsidP="005F0D55">
            <w:pPr>
              <w:jc w:val="center"/>
            </w:pPr>
            <w:proofErr w:type="spellStart"/>
            <w:r w:rsidRPr="00E93AB1">
              <w:t>изм</w:t>
            </w:r>
            <w:proofErr w:type="spellEnd"/>
            <w:r w:rsidRPr="00E93AB1">
              <w:t>.</w:t>
            </w:r>
          </w:p>
        </w:tc>
        <w:tc>
          <w:tcPr>
            <w:tcW w:w="1516" w:type="dxa"/>
            <w:vAlign w:val="center"/>
          </w:tcPr>
          <w:p w:rsidR="004E645E" w:rsidRPr="00E93AB1" w:rsidRDefault="004E645E" w:rsidP="005F0D55">
            <w:pPr>
              <w:spacing w:line="276" w:lineRule="auto"/>
              <w:jc w:val="center"/>
            </w:pPr>
            <w:r w:rsidRPr="00E93AB1">
              <w:t>201</w:t>
            </w:r>
            <w:r>
              <w:t>8</w:t>
            </w:r>
            <w:r w:rsidRPr="00E93AB1">
              <w:t>г.</w:t>
            </w:r>
          </w:p>
        </w:tc>
        <w:tc>
          <w:tcPr>
            <w:tcW w:w="1466" w:type="dxa"/>
            <w:vAlign w:val="center"/>
          </w:tcPr>
          <w:p w:rsidR="004E645E" w:rsidRPr="00E93AB1" w:rsidRDefault="004E645E" w:rsidP="005F0D55">
            <w:pPr>
              <w:spacing w:line="276" w:lineRule="auto"/>
              <w:jc w:val="center"/>
            </w:pPr>
            <w:r w:rsidRPr="00E93AB1">
              <w:t>201</w:t>
            </w:r>
            <w:r>
              <w:t>9</w:t>
            </w:r>
            <w:r w:rsidRPr="00E93AB1">
              <w:t>г.</w:t>
            </w:r>
          </w:p>
        </w:tc>
        <w:tc>
          <w:tcPr>
            <w:tcW w:w="2017" w:type="dxa"/>
            <w:vAlign w:val="center"/>
          </w:tcPr>
          <w:p w:rsidR="004E645E" w:rsidRPr="00E93AB1" w:rsidRDefault="004E645E" w:rsidP="005F0D55">
            <w:pPr>
              <w:spacing w:line="276" w:lineRule="auto"/>
              <w:jc w:val="center"/>
            </w:pPr>
            <w:r w:rsidRPr="00E93AB1">
              <w:t>201</w:t>
            </w:r>
            <w:r>
              <w:t>9</w:t>
            </w:r>
            <w:r w:rsidRPr="00E93AB1">
              <w:t>г. в % к 201</w:t>
            </w:r>
            <w:r>
              <w:t>8</w:t>
            </w:r>
            <w:r w:rsidRPr="00E93AB1">
              <w:t>г.</w:t>
            </w:r>
          </w:p>
        </w:tc>
      </w:tr>
      <w:tr w:rsidR="004E645E" w:rsidRPr="00E93AB1" w:rsidTr="00D8728D">
        <w:trPr>
          <w:jc w:val="center"/>
        </w:trPr>
        <w:tc>
          <w:tcPr>
            <w:tcW w:w="537" w:type="dxa"/>
            <w:vAlign w:val="center"/>
          </w:tcPr>
          <w:p w:rsidR="004E645E" w:rsidRPr="00E93AB1" w:rsidRDefault="004E645E" w:rsidP="005F0D55">
            <w:pPr>
              <w:jc w:val="center"/>
            </w:pPr>
            <w:r w:rsidRPr="00E93AB1">
              <w:t>1</w:t>
            </w:r>
          </w:p>
        </w:tc>
        <w:tc>
          <w:tcPr>
            <w:tcW w:w="2441" w:type="dxa"/>
            <w:vAlign w:val="center"/>
          </w:tcPr>
          <w:p w:rsidR="004E645E" w:rsidRPr="00E93AB1" w:rsidRDefault="004E645E" w:rsidP="005F0D55">
            <w:r>
              <w:t>Молоко</w:t>
            </w:r>
          </w:p>
        </w:tc>
        <w:tc>
          <w:tcPr>
            <w:tcW w:w="1097" w:type="dxa"/>
            <w:vAlign w:val="center"/>
          </w:tcPr>
          <w:p w:rsidR="004E645E" w:rsidRPr="00E93AB1" w:rsidRDefault="004E645E" w:rsidP="005F0D55">
            <w:pPr>
              <w:jc w:val="center"/>
            </w:pPr>
            <w:r>
              <w:t>тонн</w:t>
            </w:r>
          </w:p>
        </w:tc>
        <w:tc>
          <w:tcPr>
            <w:tcW w:w="1516" w:type="dxa"/>
            <w:vAlign w:val="center"/>
          </w:tcPr>
          <w:p w:rsidR="004E645E" w:rsidRPr="00E93AB1" w:rsidRDefault="004E645E" w:rsidP="005F0D55">
            <w:pPr>
              <w:spacing w:line="276" w:lineRule="auto"/>
              <w:jc w:val="center"/>
            </w:pPr>
            <w:r>
              <w:t>20400,0</w:t>
            </w:r>
          </w:p>
        </w:tc>
        <w:tc>
          <w:tcPr>
            <w:tcW w:w="1466" w:type="dxa"/>
            <w:vAlign w:val="center"/>
          </w:tcPr>
          <w:p w:rsidR="004E645E" w:rsidRPr="00E93AB1" w:rsidRDefault="004E645E" w:rsidP="005F0D55">
            <w:pPr>
              <w:spacing w:line="276" w:lineRule="auto"/>
              <w:jc w:val="center"/>
            </w:pPr>
            <w:r>
              <w:t>19378,1</w:t>
            </w:r>
          </w:p>
        </w:tc>
        <w:tc>
          <w:tcPr>
            <w:tcW w:w="2017" w:type="dxa"/>
            <w:vAlign w:val="center"/>
          </w:tcPr>
          <w:p w:rsidR="004E645E" w:rsidRPr="00E93AB1" w:rsidRDefault="004E645E" w:rsidP="005F0D55">
            <w:pPr>
              <w:spacing w:line="276" w:lineRule="auto"/>
              <w:jc w:val="center"/>
            </w:pPr>
            <w:r>
              <w:t>95,0</w:t>
            </w:r>
          </w:p>
        </w:tc>
      </w:tr>
      <w:tr w:rsidR="004E645E" w:rsidRPr="00E93AB1" w:rsidTr="00D8728D">
        <w:trPr>
          <w:jc w:val="center"/>
        </w:trPr>
        <w:tc>
          <w:tcPr>
            <w:tcW w:w="537" w:type="dxa"/>
            <w:vAlign w:val="center"/>
          </w:tcPr>
          <w:p w:rsidR="004E645E" w:rsidRPr="00E93AB1" w:rsidRDefault="004E645E" w:rsidP="005F0D55">
            <w:pPr>
              <w:jc w:val="center"/>
            </w:pPr>
            <w:r w:rsidRPr="00E93AB1">
              <w:t>2</w:t>
            </w:r>
          </w:p>
        </w:tc>
        <w:tc>
          <w:tcPr>
            <w:tcW w:w="2441" w:type="dxa"/>
            <w:vAlign w:val="center"/>
          </w:tcPr>
          <w:p w:rsidR="004E645E" w:rsidRPr="00E93AB1" w:rsidRDefault="004E645E" w:rsidP="005F0D55">
            <w:pPr>
              <w:tabs>
                <w:tab w:val="left" w:pos="243"/>
                <w:tab w:val="center" w:pos="1860"/>
              </w:tabs>
            </w:pPr>
            <w:r>
              <w:t xml:space="preserve">Скот и птица </w:t>
            </w:r>
            <w:proofErr w:type="gramStart"/>
            <w:r>
              <w:t>в</w:t>
            </w:r>
            <w:proofErr w:type="gramEnd"/>
            <w:r>
              <w:t xml:space="preserve"> </w:t>
            </w:r>
            <w:proofErr w:type="gramStart"/>
            <w:r>
              <w:t>на</w:t>
            </w:r>
            <w:proofErr w:type="gramEnd"/>
            <w:r>
              <w:t xml:space="preserve"> убой в живом весе </w:t>
            </w:r>
          </w:p>
        </w:tc>
        <w:tc>
          <w:tcPr>
            <w:tcW w:w="1097" w:type="dxa"/>
            <w:vAlign w:val="center"/>
          </w:tcPr>
          <w:p w:rsidR="004E645E" w:rsidRPr="00E93AB1" w:rsidRDefault="004E645E" w:rsidP="005F0D55">
            <w:pPr>
              <w:jc w:val="center"/>
            </w:pPr>
            <w:r w:rsidRPr="00E93AB1">
              <w:t>тонн</w:t>
            </w:r>
          </w:p>
        </w:tc>
        <w:tc>
          <w:tcPr>
            <w:tcW w:w="1516" w:type="dxa"/>
            <w:vAlign w:val="center"/>
          </w:tcPr>
          <w:p w:rsidR="004E645E" w:rsidRPr="00E93AB1" w:rsidRDefault="004E645E" w:rsidP="005F0D55">
            <w:pPr>
              <w:spacing w:line="276" w:lineRule="auto"/>
              <w:jc w:val="center"/>
            </w:pPr>
            <w:r>
              <w:t>3450,0</w:t>
            </w:r>
          </w:p>
        </w:tc>
        <w:tc>
          <w:tcPr>
            <w:tcW w:w="1466" w:type="dxa"/>
            <w:vAlign w:val="center"/>
          </w:tcPr>
          <w:p w:rsidR="004E645E" w:rsidRPr="00E93AB1" w:rsidRDefault="004E645E" w:rsidP="005F0D55">
            <w:pPr>
              <w:spacing w:line="276" w:lineRule="auto"/>
              <w:jc w:val="center"/>
            </w:pPr>
            <w:r>
              <w:t>3882,7</w:t>
            </w:r>
          </w:p>
        </w:tc>
        <w:tc>
          <w:tcPr>
            <w:tcW w:w="2017" w:type="dxa"/>
            <w:vAlign w:val="center"/>
          </w:tcPr>
          <w:p w:rsidR="004E645E" w:rsidRPr="00E93AB1" w:rsidRDefault="004E645E" w:rsidP="005F0D55">
            <w:pPr>
              <w:spacing w:line="276" w:lineRule="auto"/>
              <w:jc w:val="center"/>
            </w:pPr>
            <w:r>
              <w:t>112,5</w:t>
            </w:r>
          </w:p>
        </w:tc>
      </w:tr>
      <w:tr w:rsidR="004E645E" w:rsidRPr="00E93AB1" w:rsidTr="00D8728D">
        <w:trPr>
          <w:jc w:val="center"/>
        </w:trPr>
        <w:tc>
          <w:tcPr>
            <w:tcW w:w="537" w:type="dxa"/>
            <w:vAlign w:val="center"/>
          </w:tcPr>
          <w:p w:rsidR="004E645E" w:rsidRPr="00E93AB1" w:rsidRDefault="004E645E" w:rsidP="005F0D55">
            <w:pPr>
              <w:jc w:val="center"/>
            </w:pPr>
            <w:r w:rsidRPr="00E93AB1">
              <w:t>3</w:t>
            </w:r>
          </w:p>
        </w:tc>
        <w:tc>
          <w:tcPr>
            <w:tcW w:w="2441" w:type="dxa"/>
            <w:vAlign w:val="center"/>
          </w:tcPr>
          <w:p w:rsidR="004E645E" w:rsidRPr="00E93AB1" w:rsidRDefault="004E645E" w:rsidP="005F0D55">
            <w:r>
              <w:t>Яйца</w:t>
            </w:r>
          </w:p>
        </w:tc>
        <w:tc>
          <w:tcPr>
            <w:tcW w:w="1097" w:type="dxa"/>
            <w:vAlign w:val="center"/>
          </w:tcPr>
          <w:p w:rsidR="004E645E" w:rsidRPr="00E93AB1" w:rsidRDefault="004E645E" w:rsidP="005F0D55">
            <w:pPr>
              <w:jc w:val="center"/>
            </w:pPr>
            <w:r>
              <w:t>тыс.шт.</w:t>
            </w:r>
          </w:p>
        </w:tc>
        <w:tc>
          <w:tcPr>
            <w:tcW w:w="1516" w:type="dxa"/>
            <w:vAlign w:val="center"/>
          </w:tcPr>
          <w:p w:rsidR="004E645E" w:rsidRPr="00E93AB1" w:rsidRDefault="004E645E" w:rsidP="005F0D55">
            <w:pPr>
              <w:spacing w:line="276" w:lineRule="auto"/>
              <w:jc w:val="center"/>
            </w:pPr>
            <w:r>
              <w:t>5205</w:t>
            </w:r>
          </w:p>
        </w:tc>
        <w:tc>
          <w:tcPr>
            <w:tcW w:w="1466" w:type="dxa"/>
            <w:vAlign w:val="center"/>
          </w:tcPr>
          <w:p w:rsidR="004E645E" w:rsidRPr="00E93AB1" w:rsidRDefault="004E645E" w:rsidP="005F0D55">
            <w:pPr>
              <w:spacing w:line="276" w:lineRule="auto"/>
              <w:jc w:val="center"/>
            </w:pPr>
            <w:r>
              <w:t>6913</w:t>
            </w:r>
          </w:p>
        </w:tc>
        <w:tc>
          <w:tcPr>
            <w:tcW w:w="2017" w:type="dxa"/>
            <w:vAlign w:val="center"/>
          </w:tcPr>
          <w:p w:rsidR="004E645E" w:rsidRPr="00E93AB1" w:rsidRDefault="004E645E" w:rsidP="005F0D55">
            <w:pPr>
              <w:spacing w:line="276" w:lineRule="auto"/>
              <w:jc w:val="center"/>
            </w:pPr>
            <w:r>
              <w:t>132,8</w:t>
            </w:r>
          </w:p>
        </w:tc>
      </w:tr>
      <w:tr w:rsidR="004E645E" w:rsidRPr="00E93AB1" w:rsidTr="00D8728D">
        <w:trPr>
          <w:jc w:val="center"/>
        </w:trPr>
        <w:tc>
          <w:tcPr>
            <w:tcW w:w="537" w:type="dxa"/>
            <w:vAlign w:val="center"/>
          </w:tcPr>
          <w:p w:rsidR="004E645E" w:rsidRPr="00E93AB1" w:rsidRDefault="004E645E" w:rsidP="005F0D55">
            <w:pPr>
              <w:jc w:val="center"/>
            </w:pPr>
            <w:r w:rsidRPr="00E93AB1">
              <w:t>4</w:t>
            </w:r>
          </w:p>
        </w:tc>
        <w:tc>
          <w:tcPr>
            <w:tcW w:w="2441" w:type="dxa"/>
            <w:vAlign w:val="center"/>
          </w:tcPr>
          <w:p w:rsidR="004E645E" w:rsidRPr="00E93AB1" w:rsidRDefault="004E645E" w:rsidP="005F0D55">
            <w:r>
              <w:t>Шерсть</w:t>
            </w:r>
          </w:p>
        </w:tc>
        <w:tc>
          <w:tcPr>
            <w:tcW w:w="1097" w:type="dxa"/>
            <w:vAlign w:val="center"/>
          </w:tcPr>
          <w:p w:rsidR="004E645E" w:rsidRPr="00E93AB1" w:rsidRDefault="004E645E" w:rsidP="005F0D55">
            <w:pPr>
              <w:jc w:val="center"/>
            </w:pPr>
            <w:r>
              <w:t>центнеров</w:t>
            </w:r>
          </w:p>
        </w:tc>
        <w:tc>
          <w:tcPr>
            <w:tcW w:w="1516" w:type="dxa"/>
            <w:vAlign w:val="center"/>
          </w:tcPr>
          <w:p w:rsidR="004E645E" w:rsidRPr="00E93AB1" w:rsidRDefault="004E645E" w:rsidP="005F0D55">
            <w:pPr>
              <w:spacing w:line="276" w:lineRule="auto"/>
              <w:jc w:val="center"/>
            </w:pPr>
            <w:r>
              <w:t>282</w:t>
            </w:r>
          </w:p>
        </w:tc>
        <w:tc>
          <w:tcPr>
            <w:tcW w:w="1466" w:type="dxa"/>
            <w:vAlign w:val="center"/>
          </w:tcPr>
          <w:p w:rsidR="004E645E" w:rsidRPr="00E93AB1" w:rsidRDefault="004E645E" w:rsidP="005F0D55">
            <w:pPr>
              <w:spacing w:line="276" w:lineRule="auto"/>
              <w:jc w:val="center"/>
            </w:pPr>
            <w:r>
              <w:t>287</w:t>
            </w:r>
          </w:p>
        </w:tc>
        <w:tc>
          <w:tcPr>
            <w:tcW w:w="2017" w:type="dxa"/>
            <w:vAlign w:val="center"/>
          </w:tcPr>
          <w:p w:rsidR="004E645E" w:rsidRPr="00E93AB1" w:rsidRDefault="004E645E" w:rsidP="005F0D55">
            <w:pPr>
              <w:spacing w:line="276" w:lineRule="auto"/>
              <w:jc w:val="center"/>
            </w:pPr>
            <w:r>
              <w:t>101,8</w:t>
            </w:r>
          </w:p>
        </w:tc>
      </w:tr>
    </w:tbl>
    <w:p w:rsidR="004E645E" w:rsidRPr="00826B0A" w:rsidRDefault="004E645E" w:rsidP="00826B0A">
      <w:pPr>
        <w:spacing w:after="0" w:line="240" w:lineRule="auto"/>
        <w:ind w:firstLine="709"/>
        <w:jc w:val="both"/>
        <w:rPr>
          <w:rFonts w:ascii="Times New Roman" w:hAnsi="Times New Roman" w:cs="Times New Roman"/>
          <w:sz w:val="24"/>
          <w:szCs w:val="24"/>
        </w:rPr>
      </w:pPr>
    </w:p>
    <w:p w:rsidR="004E645E" w:rsidRPr="00826B0A" w:rsidRDefault="004E645E" w:rsidP="00826B0A">
      <w:pPr>
        <w:spacing w:after="0" w:line="240" w:lineRule="auto"/>
        <w:ind w:firstLine="709"/>
        <w:jc w:val="both"/>
        <w:rPr>
          <w:rFonts w:ascii="Times New Roman" w:hAnsi="Times New Roman" w:cs="Times New Roman"/>
          <w:sz w:val="24"/>
          <w:szCs w:val="24"/>
        </w:rPr>
      </w:pPr>
      <w:r w:rsidRPr="00826B0A">
        <w:rPr>
          <w:rFonts w:ascii="Times New Roman" w:hAnsi="Times New Roman" w:cs="Times New Roman"/>
          <w:sz w:val="24"/>
          <w:szCs w:val="24"/>
        </w:rPr>
        <w:t>В отрасли животноводства наблюдалось увеличение производства скота и птицы на убой в живом весе на 432,7 тонн, яиц – на 1708 тыс. штук и шерсти на 5 центнеров, что оказало положительное влияние на увеличение производства продукции животноводства в целом. В то же время произошло снижение производства молока на 1021,9 тонн.</w:t>
      </w:r>
    </w:p>
    <w:p w:rsidR="004E645E" w:rsidRPr="00826B0A" w:rsidRDefault="004E645E" w:rsidP="00826B0A">
      <w:pPr>
        <w:pStyle w:val="a7"/>
        <w:spacing w:after="0"/>
        <w:ind w:left="0" w:firstLine="709"/>
        <w:jc w:val="both"/>
        <w:rPr>
          <w:rFonts w:eastAsiaTheme="minorEastAsia"/>
        </w:rPr>
      </w:pPr>
      <w:r w:rsidRPr="00826B0A">
        <w:rPr>
          <w:rFonts w:eastAsiaTheme="minorEastAsia"/>
        </w:rPr>
        <w:t>На 2020 год производство валовой продукции сельского хозяйства прогнозируется на уровне 102,0% в сопоставимых ценах к уровню 2019 года.</w:t>
      </w:r>
    </w:p>
    <w:p w:rsidR="004E645E" w:rsidRPr="00826B0A" w:rsidRDefault="004E645E" w:rsidP="00826B0A">
      <w:pPr>
        <w:pStyle w:val="a7"/>
        <w:spacing w:after="0"/>
        <w:ind w:left="0" w:firstLine="709"/>
        <w:jc w:val="both"/>
        <w:rPr>
          <w:rFonts w:eastAsiaTheme="minorEastAsia"/>
        </w:rPr>
      </w:pPr>
      <w:proofErr w:type="gramStart"/>
      <w:r w:rsidRPr="00826B0A">
        <w:rPr>
          <w:rFonts w:eastAsiaTheme="minorEastAsia"/>
        </w:rPr>
        <w:t>По оперативным данным, за январь-сентябрь 2020 года валовой продукции сельского хозяйства во всех категориях хозяйств в действующих ценах произведено на сумму 1628,908 млн. рублей или 103,7% к уровню 2019 года, в том числе продукция сельскохозяйственных предприятий – 422,268 млн. рублей, продукция крестьянских (фермерских) хозяйств – 472,165 млн. рублей, продукция личных хозяйств населения – 734,475 млн. рублей.</w:t>
      </w:r>
      <w:proofErr w:type="gramEnd"/>
    </w:p>
    <w:p w:rsidR="004E645E" w:rsidRPr="00826B0A" w:rsidRDefault="004E645E" w:rsidP="00826B0A">
      <w:pPr>
        <w:pStyle w:val="a7"/>
        <w:spacing w:after="0"/>
        <w:ind w:left="0" w:firstLine="709"/>
        <w:jc w:val="both"/>
        <w:rPr>
          <w:rFonts w:eastAsiaTheme="minorEastAsia"/>
        </w:rPr>
      </w:pPr>
      <w:r w:rsidRPr="00826B0A">
        <w:rPr>
          <w:rFonts w:eastAsiaTheme="minorEastAsia"/>
        </w:rPr>
        <w:t>Индекс производства продукции растениеводства в 2020 году прогнозируется на уровне 102,0%. План по сбору урожая сельскохозяйственных культур и предварительные итоги уборки 2020 года характеризуется следующими данными.</w:t>
      </w:r>
    </w:p>
    <w:p w:rsidR="004E645E" w:rsidRPr="00826B0A" w:rsidRDefault="004E645E" w:rsidP="00826B0A">
      <w:pPr>
        <w:spacing w:after="0" w:line="240" w:lineRule="auto"/>
        <w:ind w:firstLine="709"/>
        <w:jc w:val="center"/>
        <w:rPr>
          <w:rFonts w:ascii="Times New Roman" w:hAnsi="Times New Roman" w:cs="Times New Roman"/>
          <w:sz w:val="24"/>
          <w:szCs w:val="24"/>
        </w:rPr>
      </w:pPr>
    </w:p>
    <w:p w:rsidR="004E645E" w:rsidRPr="00826B0A" w:rsidRDefault="004E645E" w:rsidP="00826B0A">
      <w:pPr>
        <w:spacing w:after="0" w:line="240" w:lineRule="auto"/>
        <w:ind w:firstLine="709"/>
        <w:jc w:val="center"/>
        <w:rPr>
          <w:rFonts w:ascii="Times New Roman" w:hAnsi="Times New Roman" w:cs="Times New Roman"/>
          <w:sz w:val="24"/>
          <w:szCs w:val="24"/>
        </w:rPr>
      </w:pPr>
      <w:r w:rsidRPr="00826B0A">
        <w:rPr>
          <w:rFonts w:ascii="Times New Roman" w:hAnsi="Times New Roman" w:cs="Times New Roman"/>
          <w:sz w:val="24"/>
          <w:szCs w:val="24"/>
        </w:rPr>
        <w:t xml:space="preserve">Таблица 3. План по сбору урожая и предварительные итоги 2020 года </w:t>
      </w:r>
    </w:p>
    <w:tbl>
      <w:tblPr>
        <w:tblStyle w:val="a9"/>
        <w:tblW w:w="9422" w:type="dxa"/>
        <w:jc w:val="center"/>
        <w:tblLook w:val="04A0"/>
      </w:tblPr>
      <w:tblGrid>
        <w:gridCol w:w="619"/>
        <w:gridCol w:w="1806"/>
        <w:gridCol w:w="784"/>
        <w:gridCol w:w="1095"/>
        <w:gridCol w:w="1064"/>
        <w:gridCol w:w="1179"/>
        <w:gridCol w:w="1391"/>
        <w:gridCol w:w="1484"/>
      </w:tblGrid>
      <w:tr w:rsidR="004E645E" w:rsidRPr="00E93AB1" w:rsidTr="005D3C17">
        <w:trPr>
          <w:trHeight w:val="1305"/>
          <w:jc w:val="center"/>
        </w:trPr>
        <w:tc>
          <w:tcPr>
            <w:tcW w:w="619" w:type="dxa"/>
            <w:vAlign w:val="center"/>
          </w:tcPr>
          <w:p w:rsidR="004E645E" w:rsidRPr="00E93AB1" w:rsidRDefault="004E645E" w:rsidP="005F0D55">
            <w:pPr>
              <w:jc w:val="center"/>
            </w:pPr>
            <w:r w:rsidRPr="00E93AB1">
              <w:t xml:space="preserve">№ </w:t>
            </w:r>
            <w:proofErr w:type="spellStart"/>
            <w:proofErr w:type="gramStart"/>
            <w:r w:rsidRPr="00E93AB1">
              <w:t>п</w:t>
            </w:r>
            <w:proofErr w:type="spellEnd"/>
            <w:proofErr w:type="gramEnd"/>
            <w:r w:rsidRPr="00E93AB1">
              <w:t>/</w:t>
            </w:r>
            <w:proofErr w:type="spellStart"/>
            <w:r w:rsidRPr="00E93AB1">
              <w:t>п</w:t>
            </w:r>
            <w:proofErr w:type="spellEnd"/>
          </w:p>
        </w:tc>
        <w:tc>
          <w:tcPr>
            <w:tcW w:w="1806" w:type="dxa"/>
            <w:vAlign w:val="center"/>
          </w:tcPr>
          <w:p w:rsidR="004E645E" w:rsidRPr="00E93AB1" w:rsidRDefault="004E645E" w:rsidP="005F0D55">
            <w:pPr>
              <w:jc w:val="center"/>
            </w:pPr>
            <w:r w:rsidRPr="00E93AB1">
              <w:t>Наименование показателя</w:t>
            </w:r>
          </w:p>
        </w:tc>
        <w:tc>
          <w:tcPr>
            <w:tcW w:w="784" w:type="dxa"/>
            <w:vAlign w:val="center"/>
          </w:tcPr>
          <w:p w:rsidR="004E645E" w:rsidRPr="00E93AB1" w:rsidRDefault="004E645E" w:rsidP="005F0D55">
            <w:pPr>
              <w:jc w:val="center"/>
            </w:pPr>
            <w:r w:rsidRPr="00E93AB1">
              <w:t>Ед.</w:t>
            </w:r>
          </w:p>
          <w:p w:rsidR="004E645E" w:rsidRPr="00E93AB1" w:rsidRDefault="004E645E" w:rsidP="005F0D55">
            <w:pPr>
              <w:jc w:val="center"/>
            </w:pPr>
            <w:proofErr w:type="spellStart"/>
            <w:r w:rsidRPr="00E93AB1">
              <w:t>изм</w:t>
            </w:r>
            <w:proofErr w:type="spellEnd"/>
            <w:r w:rsidRPr="00E93AB1">
              <w:t>.</w:t>
            </w:r>
          </w:p>
        </w:tc>
        <w:tc>
          <w:tcPr>
            <w:tcW w:w="1095" w:type="dxa"/>
            <w:vAlign w:val="center"/>
          </w:tcPr>
          <w:p w:rsidR="004E645E" w:rsidRDefault="004E645E" w:rsidP="005F0D55">
            <w:pPr>
              <w:spacing w:line="276" w:lineRule="auto"/>
              <w:jc w:val="center"/>
            </w:pPr>
            <w:r w:rsidRPr="00E93AB1">
              <w:t>201</w:t>
            </w:r>
            <w:r>
              <w:t>9</w:t>
            </w:r>
            <w:r w:rsidRPr="00E93AB1">
              <w:t>г.</w:t>
            </w:r>
          </w:p>
          <w:p w:rsidR="004E645E" w:rsidRPr="00E93AB1" w:rsidRDefault="004E645E" w:rsidP="005F0D55">
            <w:pPr>
              <w:spacing w:line="276" w:lineRule="auto"/>
              <w:jc w:val="center"/>
            </w:pPr>
            <w:r>
              <w:t xml:space="preserve"> факт</w:t>
            </w:r>
          </w:p>
        </w:tc>
        <w:tc>
          <w:tcPr>
            <w:tcW w:w="1064" w:type="dxa"/>
            <w:vAlign w:val="center"/>
          </w:tcPr>
          <w:p w:rsidR="004E645E" w:rsidRPr="00E93AB1" w:rsidRDefault="004E645E" w:rsidP="005F0D55">
            <w:pPr>
              <w:spacing w:line="276" w:lineRule="auto"/>
              <w:jc w:val="center"/>
            </w:pPr>
            <w:r>
              <w:t>2020г.</w:t>
            </w:r>
          </w:p>
          <w:p w:rsidR="004E645E" w:rsidRPr="00E93AB1" w:rsidRDefault="004E645E" w:rsidP="005F0D55">
            <w:pPr>
              <w:spacing w:line="276" w:lineRule="auto"/>
              <w:jc w:val="center"/>
            </w:pPr>
            <w:r>
              <w:t>план</w:t>
            </w:r>
          </w:p>
        </w:tc>
        <w:tc>
          <w:tcPr>
            <w:tcW w:w="1179" w:type="dxa"/>
            <w:vAlign w:val="center"/>
          </w:tcPr>
          <w:p w:rsidR="004E645E" w:rsidRPr="00E93AB1" w:rsidRDefault="004E645E" w:rsidP="005F0D55">
            <w:pPr>
              <w:spacing w:line="276" w:lineRule="auto"/>
              <w:jc w:val="center"/>
            </w:pPr>
            <w:r>
              <w:t xml:space="preserve">План </w:t>
            </w:r>
            <w:r w:rsidRPr="00E93AB1">
              <w:t>20</w:t>
            </w:r>
            <w:r>
              <w:t>20</w:t>
            </w:r>
            <w:r w:rsidRPr="00E93AB1">
              <w:t>г.</w:t>
            </w:r>
            <w:r>
              <w:t xml:space="preserve"> </w:t>
            </w:r>
            <w:proofErr w:type="gramStart"/>
            <w:r w:rsidRPr="00E93AB1">
              <w:t>в</w:t>
            </w:r>
            <w:proofErr w:type="gramEnd"/>
            <w:r w:rsidRPr="00E93AB1">
              <w:t xml:space="preserve"> % к </w:t>
            </w:r>
            <w:r>
              <w:t xml:space="preserve">факту </w:t>
            </w:r>
            <w:r w:rsidRPr="00E93AB1">
              <w:t>201</w:t>
            </w:r>
            <w:r>
              <w:t>9</w:t>
            </w:r>
            <w:r w:rsidRPr="00E93AB1">
              <w:t>г.</w:t>
            </w:r>
          </w:p>
        </w:tc>
        <w:tc>
          <w:tcPr>
            <w:tcW w:w="1391" w:type="dxa"/>
            <w:vAlign w:val="center"/>
          </w:tcPr>
          <w:p w:rsidR="004E645E" w:rsidRDefault="004E645E" w:rsidP="005F0D55">
            <w:pPr>
              <w:spacing w:line="276" w:lineRule="auto"/>
              <w:jc w:val="center"/>
            </w:pPr>
            <w:proofErr w:type="spellStart"/>
            <w:proofErr w:type="gramStart"/>
            <w:r>
              <w:t>Предва-рительные</w:t>
            </w:r>
            <w:proofErr w:type="spellEnd"/>
            <w:proofErr w:type="gramEnd"/>
            <w:r>
              <w:t xml:space="preserve"> итоги уборки 2020г.</w:t>
            </w:r>
          </w:p>
        </w:tc>
        <w:tc>
          <w:tcPr>
            <w:tcW w:w="1484" w:type="dxa"/>
            <w:vAlign w:val="center"/>
          </w:tcPr>
          <w:p w:rsidR="004E645E" w:rsidRPr="00E93AB1" w:rsidRDefault="004E645E" w:rsidP="005F0D55">
            <w:pPr>
              <w:spacing w:line="276" w:lineRule="auto"/>
              <w:jc w:val="center"/>
            </w:pPr>
            <w:r>
              <w:t>% выполнения плана</w:t>
            </w:r>
          </w:p>
        </w:tc>
      </w:tr>
      <w:tr w:rsidR="004E645E" w:rsidRPr="00E93AB1" w:rsidTr="005D3C17">
        <w:trPr>
          <w:trHeight w:val="589"/>
          <w:jc w:val="center"/>
        </w:trPr>
        <w:tc>
          <w:tcPr>
            <w:tcW w:w="619" w:type="dxa"/>
            <w:vAlign w:val="center"/>
          </w:tcPr>
          <w:p w:rsidR="004E645E" w:rsidRPr="00E93AB1" w:rsidRDefault="004E645E" w:rsidP="005F0D55">
            <w:pPr>
              <w:jc w:val="center"/>
            </w:pPr>
            <w:r w:rsidRPr="00E93AB1">
              <w:t>1</w:t>
            </w:r>
          </w:p>
        </w:tc>
        <w:tc>
          <w:tcPr>
            <w:tcW w:w="1806" w:type="dxa"/>
            <w:vAlign w:val="center"/>
          </w:tcPr>
          <w:p w:rsidR="004E645E" w:rsidRPr="00E93AB1" w:rsidRDefault="004E645E" w:rsidP="005F0D55">
            <w:r w:rsidRPr="00E93AB1">
              <w:t>Зерно</w:t>
            </w:r>
            <w:r>
              <w:t xml:space="preserve"> (в весе после доработки)</w:t>
            </w:r>
          </w:p>
        </w:tc>
        <w:tc>
          <w:tcPr>
            <w:tcW w:w="784" w:type="dxa"/>
            <w:vAlign w:val="center"/>
          </w:tcPr>
          <w:p w:rsidR="004E645E" w:rsidRPr="00E93AB1" w:rsidRDefault="004E645E" w:rsidP="005F0D55">
            <w:pPr>
              <w:jc w:val="center"/>
            </w:pPr>
            <w:r>
              <w:t>тонн</w:t>
            </w:r>
          </w:p>
        </w:tc>
        <w:tc>
          <w:tcPr>
            <w:tcW w:w="1095" w:type="dxa"/>
            <w:vAlign w:val="center"/>
          </w:tcPr>
          <w:p w:rsidR="004E645E" w:rsidRPr="00E93AB1" w:rsidRDefault="004E645E" w:rsidP="005F0D55">
            <w:pPr>
              <w:spacing w:line="276" w:lineRule="auto"/>
              <w:jc w:val="center"/>
            </w:pPr>
            <w:r>
              <w:t>38598,0</w:t>
            </w:r>
          </w:p>
        </w:tc>
        <w:tc>
          <w:tcPr>
            <w:tcW w:w="1064" w:type="dxa"/>
            <w:vAlign w:val="center"/>
          </w:tcPr>
          <w:p w:rsidR="004E645E" w:rsidRPr="00E93AB1" w:rsidRDefault="004E645E" w:rsidP="005F0D55">
            <w:pPr>
              <w:spacing w:line="276" w:lineRule="auto"/>
              <w:jc w:val="center"/>
            </w:pPr>
            <w:r>
              <w:t>41000,0</w:t>
            </w:r>
          </w:p>
        </w:tc>
        <w:tc>
          <w:tcPr>
            <w:tcW w:w="1179" w:type="dxa"/>
            <w:vAlign w:val="center"/>
          </w:tcPr>
          <w:p w:rsidR="004E645E" w:rsidRPr="00E93AB1" w:rsidRDefault="004E645E" w:rsidP="005F0D55">
            <w:pPr>
              <w:spacing w:line="276" w:lineRule="auto"/>
              <w:jc w:val="center"/>
            </w:pPr>
            <w:r>
              <w:t>106,2</w:t>
            </w:r>
          </w:p>
        </w:tc>
        <w:tc>
          <w:tcPr>
            <w:tcW w:w="1391" w:type="dxa"/>
            <w:vAlign w:val="center"/>
          </w:tcPr>
          <w:p w:rsidR="004E645E" w:rsidRDefault="004E645E" w:rsidP="005F0D55">
            <w:pPr>
              <w:spacing w:line="276" w:lineRule="auto"/>
              <w:jc w:val="center"/>
            </w:pPr>
            <w:r>
              <w:t>55846,3</w:t>
            </w:r>
          </w:p>
        </w:tc>
        <w:tc>
          <w:tcPr>
            <w:tcW w:w="1484" w:type="dxa"/>
            <w:vAlign w:val="center"/>
          </w:tcPr>
          <w:p w:rsidR="004E645E" w:rsidRPr="00E93AB1" w:rsidRDefault="004E645E" w:rsidP="005F0D55">
            <w:pPr>
              <w:spacing w:line="276" w:lineRule="auto"/>
              <w:jc w:val="center"/>
            </w:pPr>
            <w:r>
              <w:t>136,2</w:t>
            </w:r>
          </w:p>
        </w:tc>
      </w:tr>
      <w:tr w:rsidR="004E645E" w:rsidRPr="00E93AB1" w:rsidTr="005D3C17">
        <w:trPr>
          <w:trHeight w:val="346"/>
          <w:jc w:val="center"/>
        </w:trPr>
        <w:tc>
          <w:tcPr>
            <w:tcW w:w="619" w:type="dxa"/>
            <w:vAlign w:val="center"/>
          </w:tcPr>
          <w:p w:rsidR="004E645E" w:rsidRPr="00E93AB1" w:rsidRDefault="004E645E" w:rsidP="005F0D55">
            <w:pPr>
              <w:jc w:val="center"/>
            </w:pPr>
            <w:r w:rsidRPr="00E93AB1">
              <w:t>2</w:t>
            </w:r>
          </w:p>
        </w:tc>
        <w:tc>
          <w:tcPr>
            <w:tcW w:w="1806" w:type="dxa"/>
            <w:vAlign w:val="center"/>
          </w:tcPr>
          <w:p w:rsidR="004E645E" w:rsidRPr="00E93AB1" w:rsidRDefault="004E645E" w:rsidP="005F0D55">
            <w:pPr>
              <w:tabs>
                <w:tab w:val="left" w:pos="243"/>
                <w:tab w:val="center" w:pos="1860"/>
              </w:tabs>
            </w:pPr>
            <w:r w:rsidRPr="00E93AB1">
              <w:t>Картофель</w:t>
            </w:r>
          </w:p>
        </w:tc>
        <w:tc>
          <w:tcPr>
            <w:tcW w:w="784" w:type="dxa"/>
            <w:vAlign w:val="center"/>
          </w:tcPr>
          <w:p w:rsidR="004E645E" w:rsidRPr="00E93AB1" w:rsidRDefault="004E645E" w:rsidP="005F0D55">
            <w:pPr>
              <w:jc w:val="center"/>
            </w:pPr>
            <w:r w:rsidRPr="00E93AB1">
              <w:t>тонн</w:t>
            </w:r>
          </w:p>
        </w:tc>
        <w:tc>
          <w:tcPr>
            <w:tcW w:w="1095" w:type="dxa"/>
            <w:vAlign w:val="center"/>
          </w:tcPr>
          <w:p w:rsidR="004E645E" w:rsidRPr="00E93AB1" w:rsidRDefault="004E645E" w:rsidP="005F0D55">
            <w:pPr>
              <w:spacing w:line="276" w:lineRule="auto"/>
              <w:jc w:val="center"/>
            </w:pPr>
            <w:r>
              <w:t>25576,4</w:t>
            </w:r>
          </w:p>
        </w:tc>
        <w:tc>
          <w:tcPr>
            <w:tcW w:w="1064" w:type="dxa"/>
            <w:vAlign w:val="center"/>
          </w:tcPr>
          <w:p w:rsidR="004E645E" w:rsidRPr="00E93AB1" w:rsidRDefault="004E645E" w:rsidP="005F0D55">
            <w:pPr>
              <w:spacing w:line="276" w:lineRule="auto"/>
              <w:jc w:val="center"/>
            </w:pPr>
            <w:r>
              <w:t>26070,0</w:t>
            </w:r>
          </w:p>
        </w:tc>
        <w:tc>
          <w:tcPr>
            <w:tcW w:w="1179" w:type="dxa"/>
            <w:vAlign w:val="center"/>
          </w:tcPr>
          <w:p w:rsidR="004E645E" w:rsidRPr="00E93AB1" w:rsidRDefault="004E645E" w:rsidP="005F0D55">
            <w:pPr>
              <w:spacing w:line="276" w:lineRule="auto"/>
              <w:jc w:val="center"/>
            </w:pPr>
            <w:r>
              <w:t>101,9</w:t>
            </w:r>
          </w:p>
        </w:tc>
        <w:tc>
          <w:tcPr>
            <w:tcW w:w="1391" w:type="dxa"/>
            <w:vAlign w:val="center"/>
          </w:tcPr>
          <w:p w:rsidR="004E645E" w:rsidRDefault="004E645E" w:rsidP="005F0D55">
            <w:pPr>
              <w:spacing w:line="276" w:lineRule="auto"/>
              <w:jc w:val="center"/>
            </w:pPr>
            <w:r>
              <w:t>17677,4</w:t>
            </w:r>
          </w:p>
        </w:tc>
        <w:tc>
          <w:tcPr>
            <w:tcW w:w="1484" w:type="dxa"/>
            <w:vAlign w:val="center"/>
          </w:tcPr>
          <w:p w:rsidR="004E645E" w:rsidRPr="00E93AB1" w:rsidRDefault="004E645E" w:rsidP="005F0D55">
            <w:pPr>
              <w:spacing w:line="276" w:lineRule="auto"/>
              <w:jc w:val="center"/>
            </w:pPr>
            <w:r>
              <w:t>67,8</w:t>
            </w:r>
          </w:p>
        </w:tc>
      </w:tr>
      <w:tr w:rsidR="004E645E" w:rsidRPr="00E93AB1" w:rsidTr="005D3C17">
        <w:trPr>
          <w:trHeight w:val="333"/>
          <w:jc w:val="center"/>
        </w:trPr>
        <w:tc>
          <w:tcPr>
            <w:tcW w:w="619" w:type="dxa"/>
            <w:vAlign w:val="center"/>
          </w:tcPr>
          <w:p w:rsidR="004E645E" w:rsidRPr="00E93AB1" w:rsidRDefault="004E645E" w:rsidP="005F0D55">
            <w:pPr>
              <w:jc w:val="center"/>
            </w:pPr>
            <w:r w:rsidRPr="00E93AB1">
              <w:t>3</w:t>
            </w:r>
          </w:p>
        </w:tc>
        <w:tc>
          <w:tcPr>
            <w:tcW w:w="1806" w:type="dxa"/>
            <w:vAlign w:val="center"/>
          </w:tcPr>
          <w:p w:rsidR="004E645E" w:rsidRPr="00E93AB1" w:rsidRDefault="004E645E" w:rsidP="005F0D55">
            <w:r w:rsidRPr="00E93AB1">
              <w:t xml:space="preserve">Овощи </w:t>
            </w:r>
            <w:r>
              <w:t>всех видов</w:t>
            </w:r>
          </w:p>
        </w:tc>
        <w:tc>
          <w:tcPr>
            <w:tcW w:w="784" w:type="dxa"/>
            <w:vAlign w:val="center"/>
          </w:tcPr>
          <w:p w:rsidR="004E645E" w:rsidRPr="00E93AB1" w:rsidRDefault="004E645E" w:rsidP="005F0D55">
            <w:pPr>
              <w:jc w:val="center"/>
            </w:pPr>
            <w:r w:rsidRPr="00E93AB1">
              <w:t>тонн</w:t>
            </w:r>
          </w:p>
        </w:tc>
        <w:tc>
          <w:tcPr>
            <w:tcW w:w="1095" w:type="dxa"/>
            <w:vAlign w:val="center"/>
          </w:tcPr>
          <w:p w:rsidR="004E645E" w:rsidRPr="00E93AB1" w:rsidRDefault="004E645E" w:rsidP="005F0D55">
            <w:pPr>
              <w:spacing w:line="276" w:lineRule="auto"/>
              <w:jc w:val="center"/>
            </w:pPr>
            <w:r>
              <w:t>5236,3</w:t>
            </w:r>
          </w:p>
        </w:tc>
        <w:tc>
          <w:tcPr>
            <w:tcW w:w="1064" w:type="dxa"/>
            <w:vAlign w:val="center"/>
          </w:tcPr>
          <w:p w:rsidR="004E645E" w:rsidRPr="00E93AB1" w:rsidRDefault="004E645E" w:rsidP="005F0D55">
            <w:pPr>
              <w:spacing w:line="276" w:lineRule="auto"/>
              <w:jc w:val="center"/>
            </w:pPr>
            <w:r>
              <w:t>5636,0</w:t>
            </w:r>
          </w:p>
        </w:tc>
        <w:tc>
          <w:tcPr>
            <w:tcW w:w="1179" w:type="dxa"/>
            <w:vAlign w:val="center"/>
          </w:tcPr>
          <w:p w:rsidR="004E645E" w:rsidRPr="00E93AB1" w:rsidRDefault="004E645E" w:rsidP="005F0D55">
            <w:pPr>
              <w:spacing w:line="276" w:lineRule="auto"/>
              <w:jc w:val="center"/>
            </w:pPr>
            <w:r>
              <w:t>107,6</w:t>
            </w:r>
          </w:p>
        </w:tc>
        <w:tc>
          <w:tcPr>
            <w:tcW w:w="1391" w:type="dxa"/>
            <w:vAlign w:val="center"/>
          </w:tcPr>
          <w:p w:rsidR="004E645E" w:rsidRDefault="004E645E" w:rsidP="005F0D55">
            <w:pPr>
              <w:spacing w:line="276" w:lineRule="auto"/>
              <w:jc w:val="center"/>
            </w:pPr>
            <w:r>
              <w:t>5319,3</w:t>
            </w:r>
          </w:p>
        </w:tc>
        <w:tc>
          <w:tcPr>
            <w:tcW w:w="1484" w:type="dxa"/>
            <w:vAlign w:val="center"/>
          </w:tcPr>
          <w:p w:rsidR="004E645E" w:rsidRPr="00E93AB1" w:rsidRDefault="004E645E" w:rsidP="005F0D55">
            <w:pPr>
              <w:spacing w:line="276" w:lineRule="auto"/>
              <w:jc w:val="center"/>
            </w:pPr>
            <w:r>
              <w:t>94,4</w:t>
            </w:r>
          </w:p>
        </w:tc>
      </w:tr>
      <w:tr w:rsidR="004E645E" w:rsidRPr="00E93AB1" w:rsidTr="005D3C17">
        <w:trPr>
          <w:trHeight w:val="346"/>
          <w:jc w:val="center"/>
        </w:trPr>
        <w:tc>
          <w:tcPr>
            <w:tcW w:w="619" w:type="dxa"/>
            <w:vAlign w:val="center"/>
          </w:tcPr>
          <w:p w:rsidR="004E645E" w:rsidRPr="00E93AB1" w:rsidRDefault="004E645E" w:rsidP="005F0D55">
            <w:pPr>
              <w:jc w:val="center"/>
            </w:pPr>
            <w:r w:rsidRPr="00E93AB1">
              <w:t>4</w:t>
            </w:r>
          </w:p>
        </w:tc>
        <w:tc>
          <w:tcPr>
            <w:tcW w:w="1806" w:type="dxa"/>
            <w:vAlign w:val="center"/>
          </w:tcPr>
          <w:p w:rsidR="004E645E" w:rsidRPr="00E93AB1" w:rsidRDefault="004E645E" w:rsidP="005F0D55">
            <w:r w:rsidRPr="00E93AB1">
              <w:t>Подсолнечник</w:t>
            </w:r>
          </w:p>
        </w:tc>
        <w:tc>
          <w:tcPr>
            <w:tcW w:w="784" w:type="dxa"/>
            <w:vAlign w:val="center"/>
          </w:tcPr>
          <w:p w:rsidR="004E645E" w:rsidRPr="00E93AB1" w:rsidRDefault="004E645E" w:rsidP="005F0D55">
            <w:pPr>
              <w:jc w:val="center"/>
            </w:pPr>
            <w:r w:rsidRPr="00E93AB1">
              <w:t>тонн</w:t>
            </w:r>
          </w:p>
        </w:tc>
        <w:tc>
          <w:tcPr>
            <w:tcW w:w="1095" w:type="dxa"/>
            <w:vAlign w:val="center"/>
          </w:tcPr>
          <w:p w:rsidR="004E645E" w:rsidRPr="00E93AB1" w:rsidRDefault="004E645E" w:rsidP="005F0D55">
            <w:pPr>
              <w:spacing w:line="276" w:lineRule="auto"/>
              <w:jc w:val="center"/>
            </w:pPr>
            <w:r>
              <w:t>2893,0</w:t>
            </w:r>
          </w:p>
        </w:tc>
        <w:tc>
          <w:tcPr>
            <w:tcW w:w="1064" w:type="dxa"/>
            <w:vAlign w:val="center"/>
          </w:tcPr>
          <w:p w:rsidR="004E645E" w:rsidRPr="00E93AB1" w:rsidRDefault="004E645E" w:rsidP="005F0D55">
            <w:pPr>
              <w:spacing w:line="276" w:lineRule="auto"/>
              <w:jc w:val="center"/>
            </w:pPr>
            <w:r>
              <w:t>3384,0</w:t>
            </w:r>
          </w:p>
        </w:tc>
        <w:tc>
          <w:tcPr>
            <w:tcW w:w="1179" w:type="dxa"/>
            <w:vAlign w:val="center"/>
          </w:tcPr>
          <w:p w:rsidR="004E645E" w:rsidRPr="00E93AB1" w:rsidRDefault="004E645E" w:rsidP="005F0D55">
            <w:pPr>
              <w:spacing w:line="276" w:lineRule="auto"/>
              <w:jc w:val="center"/>
            </w:pPr>
            <w:r>
              <w:t>117,0</w:t>
            </w:r>
          </w:p>
        </w:tc>
        <w:tc>
          <w:tcPr>
            <w:tcW w:w="1391" w:type="dxa"/>
            <w:vAlign w:val="center"/>
          </w:tcPr>
          <w:p w:rsidR="004E645E" w:rsidRDefault="004E645E" w:rsidP="005F0D55">
            <w:pPr>
              <w:spacing w:line="276" w:lineRule="auto"/>
              <w:jc w:val="center"/>
            </w:pPr>
            <w:r>
              <w:t>7244,6</w:t>
            </w:r>
          </w:p>
        </w:tc>
        <w:tc>
          <w:tcPr>
            <w:tcW w:w="1484" w:type="dxa"/>
            <w:vAlign w:val="center"/>
          </w:tcPr>
          <w:p w:rsidR="004E645E" w:rsidRPr="00E93AB1" w:rsidRDefault="004E645E" w:rsidP="005F0D55">
            <w:pPr>
              <w:spacing w:line="276" w:lineRule="auto"/>
              <w:jc w:val="center"/>
            </w:pPr>
            <w:r>
              <w:t>214,1</w:t>
            </w:r>
          </w:p>
        </w:tc>
      </w:tr>
    </w:tbl>
    <w:p w:rsidR="006F5AD2" w:rsidRDefault="006F5AD2" w:rsidP="006F5AD2">
      <w:pPr>
        <w:pStyle w:val="a7"/>
        <w:spacing w:after="0"/>
        <w:ind w:left="0" w:firstLine="709"/>
        <w:jc w:val="both"/>
        <w:rPr>
          <w:rFonts w:eastAsiaTheme="minorEastAsia"/>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В соответствии с заключенным Соглашением между Министерством сельского  хозяйства РБ и Администрацией МР Белебеевский район РБ о реализации Указа Главы Республики Башкортостан УГ-310 «О стратегических направлениях социально-экономического развития Республики Башкортостан до 2024 года» на период 2020-2024гг. установлены целевые индикаторы по валовому сбору зерновых и зернобобовых культур: 2020г. – 41 тыс</w:t>
      </w:r>
      <w:proofErr w:type="gramStart"/>
      <w:r w:rsidRPr="006F5AD2">
        <w:rPr>
          <w:rFonts w:eastAsiaTheme="minorEastAsia"/>
        </w:rPr>
        <w:t>.т</w:t>
      </w:r>
      <w:proofErr w:type="gramEnd"/>
      <w:r w:rsidRPr="006F5AD2">
        <w:rPr>
          <w:rFonts w:eastAsiaTheme="minorEastAsia"/>
        </w:rPr>
        <w:t>онн, 2021г. – 43 тыс.тонн, 2022г. – 47 тыс.тонн, 2023г. – 50 тыс</w:t>
      </w:r>
      <w:proofErr w:type="gramStart"/>
      <w:r w:rsidRPr="006F5AD2">
        <w:rPr>
          <w:rFonts w:eastAsiaTheme="minorEastAsia"/>
        </w:rPr>
        <w:t>.т</w:t>
      </w:r>
      <w:proofErr w:type="gramEnd"/>
      <w:r w:rsidRPr="006F5AD2">
        <w:rPr>
          <w:rFonts w:eastAsiaTheme="minorEastAsia"/>
        </w:rPr>
        <w:t>онн</w:t>
      </w:r>
      <w:r w:rsidR="006F5AD2">
        <w:rPr>
          <w:rFonts w:eastAsiaTheme="minorEastAsia"/>
        </w:rPr>
        <w:t>.</w:t>
      </w:r>
      <w:r w:rsidRPr="006F5AD2">
        <w:rPr>
          <w:rFonts w:eastAsiaTheme="minorEastAsia"/>
        </w:rPr>
        <w:t xml:space="preserve">, 2024г. – 52 тыс.тонн. </w:t>
      </w:r>
    </w:p>
    <w:p w:rsidR="004E645E" w:rsidRPr="006F5AD2" w:rsidRDefault="004E645E" w:rsidP="004E645E">
      <w:pPr>
        <w:pStyle w:val="a7"/>
        <w:spacing w:after="0"/>
        <w:ind w:left="0" w:firstLine="709"/>
        <w:jc w:val="both"/>
        <w:rPr>
          <w:rFonts w:eastAsiaTheme="minorEastAsia"/>
        </w:rPr>
      </w:pPr>
      <w:r w:rsidRPr="006F5AD2">
        <w:rPr>
          <w:rFonts w:eastAsiaTheme="minorEastAsia"/>
        </w:rPr>
        <w:lastRenderedPageBreak/>
        <w:t xml:space="preserve">Положительным моментом по итогам посевной кампании 2020 года является увеличение в текущем году посевных площадей основных сельскохозяйственных культур: зерновых и зернобобовых культур на 2918,2 га, масличных культур – на 2555 га, в т.ч. подсолнечника – на 862 га, овощных культур – на 3,9 га. В тоже время сократились посевные площади картофеля на 96,7 га. Также отмечается увеличение площадей, засеваемых семенами элитных сортов и увеличение объемов внесенных минеральных и органических удобрений. </w:t>
      </w:r>
    </w:p>
    <w:p w:rsidR="004E645E" w:rsidRPr="006F5AD2" w:rsidRDefault="004E645E" w:rsidP="004E645E">
      <w:pPr>
        <w:pStyle w:val="a7"/>
        <w:spacing w:after="0"/>
        <w:ind w:left="0" w:firstLine="709"/>
        <w:jc w:val="both"/>
        <w:rPr>
          <w:rFonts w:eastAsiaTheme="minorEastAsia"/>
        </w:rPr>
      </w:pPr>
      <w:r w:rsidRPr="006F5AD2">
        <w:rPr>
          <w:rFonts w:eastAsiaTheme="minorEastAsia"/>
        </w:rPr>
        <w:t xml:space="preserve">По предварительным данным намолот зерновых и зернобобовых культур после доработки ожидается в объеме 55846,3 тонн или 144,7% к уровню прошлого года, подсолнечника в объеме 7244,6 тонн, что в 2,5 раза больше уровня прошлого года.  В то же время в текущем году отмечается снижение валового сбора картофеля более чем на 30% в связи с низкой урожайностью и уменьшением посевных площадей в личных хозяйствах населения. </w:t>
      </w:r>
    </w:p>
    <w:p w:rsidR="004E645E" w:rsidRPr="006F5AD2" w:rsidRDefault="004E645E" w:rsidP="006F5AD2">
      <w:pPr>
        <w:pStyle w:val="a7"/>
        <w:spacing w:after="0"/>
        <w:ind w:left="0" w:firstLine="709"/>
        <w:jc w:val="both"/>
        <w:rPr>
          <w:rFonts w:eastAsiaTheme="minorEastAsia"/>
        </w:rPr>
      </w:pPr>
      <w:r w:rsidRPr="006F5AD2">
        <w:rPr>
          <w:rFonts w:eastAsiaTheme="minorEastAsia"/>
        </w:rPr>
        <w:t>В целях эффективного развития растениеводства сельскохозяйственные товаропроизводители района активно участвуют в программах государственной поддержки. Господдержка отрасли растениеводства за 9 месяцев текущего года составила 14,7 млн. рублей и была представлена субсидиями:</w:t>
      </w:r>
    </w:p>
    <w:p w:rsidR="004E645E" w:rsidRPr="006F5AD2" w:rsidRDefault="004E645E" w:rsidP="006F5AD2">
      <w:pPr>
        <w:pStyle w:val="a7"/>
        <w:spacing w:after="0"/>
        <w:ind w:left="0" w:firstLine="709"/>
        <w:jc w:val="both"/>
        <w:rPr>
          <w:rFonts w:eastAsiaTheme="minorEastAsia"/>
        </w:rPr>
      </w:pPr>
      <w:r w:rsidRPr="006F5AD2">
        <w:rPr>
          <w:rFonts w:eastAsiaTheme="minorEastAsia"/>
        </w:rPr>
        <w:t>на оказание несвязанной поддержки в области растениеводства – 3,9 млн. рублей;</w:t>
      </w:r>
    </w:p>
    <w:p w:rsidR="004E645E" w:rsidRPr="006F5AD2" w:rsidRDefault="004E645E" w:rsidP="006F5AD2">
      <w:pPr>
        <w:pStyle w:val="a7"/>
        <w:spacing w:after="0"/>
        <w:ind w:left="0" w:firstLine="709"/>
        <w:jc w:val="both"/>
        <w:rPr>
          <w:rFonts w:eastAsiaTheme="minorEastAsia"/>
        </w:rPr>
      </w:pPr>
      <w:r w:rsidRPr="006F5AD2">
        <w:rPr>
          <w:rFonts w:eastAsiaTheme="minorEastAsia"/>
        </w:rPr>
        <w:t>возмещение части затрат на приобретение техники и оборудования – 6,0 млн. рублей;</w:t>
      </w:r>
    </w:p>
    <w:p w:rsidR="004E645E" w:rsidRPr="006F5AD2" w:rsidRDefault="004E645E" w:rsidP="006F5AD2">
      <w:pPr>
        <w:pStyle w:val="a7"/>
        <w:spacing w:after="0"/>
        <w:ind w:left="0" w:firstLine="709"/>
        <w:jc w:val="both"/>
        <w:rPr>
          <w:rFonts w:eastAsiaTheme="minorEastAsia"/>
        </w:rPr>
      </w:pPr>
      <w:r w:rsidRPr="006F5AD2">
        <w:rPr>
          <w:rFonts w:eastAsiaTheme="minorEastAsia"/>
        </w:rPr>
        <w:t>поддержка элитного семеноводства – 0,6 млн. рублей;</w:t>
      </w:r>
    </w:p>
    <w:p w:rsidR="004E645E" w:rsidRPr="006F5AD2" w:rsidRDefault="004E645E" w:rsidP="006F5AD2">
      <w:pPr>
        <w:pStyle w:val="a7"/>
        <w:spacing w:after="0"/>
        <w:ind w:left="0" w:firstLine="709"/>
        <w:jc w:val="both"/>
        <w:rPr>
          <w:rFonts w:eastAsiaTheme="minorEastAsia"/>
        </w:rPr>
      </w:pPr>
      <w:r w:rsidRPr="006F5AD2">
        <w:rPr>
          <w:rFonts w:eastAsiaTheme="minorEastAsia"/>
        </w:rPr>
        <w:t>субсидия на реализацию собственной продукции растениеводства – 1,4 млн. рублей;</w:t>
      </w:r>
    </w:p>
    <w:p w:rsidR="004E645E" w:rsidRPr="006F5AD2" w:rsidRDefault="004E645E" w:rsidP="006F5AD2">
      <w:pPr>
        <w:pStyle w:val="a7"/>
        <w:spacing w:after="0"/>
        <w:ind w:left="0" w:firstLine="709"/>
        <w:jc w:val="both"/>
        <w:rPr>
          <w:rFonts w:eastAsiaTheme="minorEastAsia"/>
        </w:rPr>
      </w:pPr>
      <w:r w:rsidRPr="006F5AD2">
        <w:rPr>
          <w:rFonts w:eastAsiaTheme="minorEastAsia"/>
        </w:rPr>
        <w:t xml:space="preserve">грант на поддержку начинающего фермера (растениеводство) – 2,8 млн. рублей. </w:t>
      </w:r>
    </w:p>
    <w:p w:rsidR="004E645E" w:rsidRPr="006F5AD2" w:rsidRDefault="004E645E" w:rsidP="006F5AD2">
      <w:pPr>
        <w:pStyle w:val="a7"/>
        <w:spacing w:after="0"/>
        <w:ind w:left="0" w:firstLine="709"/>
        <w:jc w:val="both"/>
        <w:rPr>
          <w:rFonts w:eastAsiaTheme="minorEastAsia"/>
        </w:rPr>
      </w:pPr>
    </w:p>
    <w:p w:rsidR="004E645E" w:rsidRPr="006F5AD2" w:rsidRDefault="004E645E" w:rsidP="004E645E">
      <w:pPr>
        <w:pStyle w:val="a7"/>
        <w:spacing w:after="0"/>
        <w:ind w:left="0" w:firstLine="709"/>
        <w:jc w:val="both"/>
        <w:rPr>
          <w:rFonts w:eastAsiaTheme="minorEastAsia"/>
        </w:rPr>
      </w:pPr>
      <w:r w:rsidRPr="006F5AD2">
        <w:rPr>
          <w:rFonts w:eastAsiaTheme="minorEastAsia"/>
        </w:rPr>
        <w:t xml:space="preserve">Индекс производства продукции животноводства в 2020 году прогнозируется на уровне 102,0%. Производство основных продуктов отрасли животноводства за </w:t>
      </w:r>
      <w:r w:rsidR="006F5AD2">
        <w:rPr>
          <w:rFonts w:eastAsiaTheme="minorEastAsia"/>
        </w:rPr>
        <w:t>9</w:t>
      </w:r>
      <w:r w:rsidRPr="006F5AD2">
        <w:rPr>
          <w:rFonts w:eastAsiaTheme="minorEastAsia"/>
        </w:rPr>
        <w:t xml:space="preserve"> месяцев текущего года характеризуется следующими данными.</w:t>
      </w:r>
    </w:p>
    <w:p w:rsidR="004E645E" w:rsidRPr="006F5AD2" w:rsidRDefault="004E645E" w:rsidP="004E645E">
      <w:pPr>
        <w:pStyle w:val="a7"/>
        <w:spacing w:after="0"/>
        <w:ind w:left="0" w:firstLine="709"/>
        <w:jc w:val="both"/>
        <w:rPr>
          <w:rFonts w:eastAsiaTheme="minorEastAsia"/>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Таблица 4. Производство основной продукции животноводства</w:t>
      </w:r>
    </w:p>
    <w:tbl>
      <w:tblPr>
        <w:tblStyle w:val="a9"/>
        <w:tblW w:w="0" w:type="auto"/>
        <w:jc w:val="center"/>
        <w:tblLook w:val="04A0"/>
      </w:tblPr>
      <w:tblGrid>
        <w:gridCol w:w="535"/>
        <w:gridCol w:w="2254"/>
        <w:gridCol w:w="1155"/>
        <w:gridCol w:w="882"/>
        <w:gridCol w:w="1073"/>
        <w:gridCol w:w="1078"/>
        <w:gridCol w:w="1369"/>
        <w:gridCol w:w="1485"/>
      </w:tblGrid>
      <w:tr w:rsidR="004E645E" w:rsidRPr="00E93AB1" w:rsidTr="00B745DC">
        <w:trPr>
          <w:trHeight w:val="350"/>
          <w:jc w:val="center"/>
        </w:trPr>
        <w:tc>
          <w:tcPr>
            <w:tcW w:w="535" w:type="dxa"/>
            <w:vMerge w:val="restart"/>
            <w:vAlign w:val="center"/>
          </w:tcPr>
          <w:p w:rsidR="004E645E" w:rsidRPr="00E93AB1" w:rsidRDefault="004E645E" w:rsidP="005F0D55">
            <w:pPr>
              <w:jc w:val="center"/>
            </w:pPr>
            <w:r w:rsidRPr="00E93AB1">
              <w:t xml:space="preserve">№ </w:t>
            </w:r>
            <w:proofErr w:type="spellStart"/>
            <w:proofErr w:type="gramStart"/>
            <w:r w:rsidRPr="00E93AB1">
              <w:t>п</w:t>
            </w:r>
            <w:proofErr w:type="spellEnd"/>
            <w:proofErr w:type="gramEnd"/>
            <w:r w:rsidRPr="00E93AB1">
              <w:t>/</w:t>
            </w:r>
            <w:proofErr w:type="spellStart"/>
            <w:r w:rsidRPr="00E93AB1">
              <w:t>п</w:t>
            </w:r>
            <w:proofErr w:type="spellEnd"/>
          </w:p>
        </w:tc>
        <w:tc>
          <w:tcPr>
            <w:tcW w:w="2254" w:type="dxa"/>
            <w:vMerge w:val="restart"/>
            <w:vAlign w:val="center"/>
          </w:tcPr>
          <w:p w:rsidR="004E645E" w:rsidRPr="00E93AB1" w:rsidRDefault="004E645E" w:rsidP="005F0D55">
            <w:pPr>
              <w:jc w:val="center"/>
            </w:pPr>
            <w:r w:rsidRPr="00E93AB1">
              <w:t>Наименование показателя</w:t>
            </w:r>
          </w:p>
        </w:tc>
        <w:tc>
          <w:tcPr>
            <w:tcW w:w="1155" w:type="dxa"/>
            <w:vMerge w:val="restart"/>
            <w:vAlign w:val="center"/>
          </w:tcPr>
          <w:p w:rsidR="004E645E" w:rsidRPr="00E93AB1" w:rsidRDefault="004E645E" w:rsidP="005F0D55">
            <w:pPr>
              <w:jc w:val="center"/>
            </w:pPr>
            <w:r w:rsidRPr="00E93AB1">
              <w:t>Ед.</w:t>
            </w:r>
          </w:p>
          <w:p w:rsidR="004E645E" w:rsidRPr="00E93AB1" w:rsidRDefault="004E645E" w:rsidP="005F0D55">
            <w:pPr>
              <w:jc w:val="center"/>
            </w:pPr>
            <w:proofErr w:type="spellStart"/>
            <w:r w:rsidRPr="00E93AB1">
              <w:t>изм</w:t>
            </w:r>
            <w:proofErr w:type="spellEnd"/>
            <w:r w:rsidRPr="00E93AB1">
              <w:t>.</w:t>
            </w:r>
          </w:p>
        </w:tc>
        <w:tc>
          <w:tcPr>
            <w:tcW w:w="882" w:type="dxa"/>
            <w:vMerge w:val="restart"/>
            <w:vAlign w:val="center"/>
          </w:tcPr>
          <w:p w:rsidR="004E645E" w:rsidRPr="00E93AB1" w:rsidRDefault="004E645E" w:rsidP="005F0D55">
            <w:pPr>
              <w:spacing w:line="276" w:lineRule="auto"/>
              <w:jc w:val="center"/>
            </w:pPr>
            <w:r w:rsidRPr="00E93AB1">
              <w:t>201</w:t>
            </w:r>
            <w:r>
              <w:t>9</w:t>
            </w:r>
            <w:r w:rsidRPr="00E93AB1">
              <w:t>г.</w:t>
            </w:r>
          </w:p>
        </w:tc>
        <w:tc>
          <w:tcPr>
            <w:tcW w:w="2151" w:type="dxa"/>
            <w:gridSpan w:val="2"/>
            <w:vAlign w:val="center"/>
          </w:tcPr>
          <w:p w:rsidR="004E645E" w:rsidRPr="00E93AB1" w:rsidRDefault="004E645E" w:rsidP="005F0D55">
            <w:pPr>
              <w:spacing w:line="276" w:lineRule="auto"/>
              <w:jc w:val="center"/>
            </w:pPr>
            <w:r>
              <w:t>2020г.</w:t>
            </w:r>
          </w:p>
        </w:tc>
        <w:tc>
          <w:tcPr>
            <w:tcW w:w="1369" w:type="dxa"/>
            <w:vMerge w:val="restart"/>
            <w:vAlign w:val="center"/>
          </w:tcPr>
          <w:p w:rsidR="004E645E" w:rsidRPr="00E93AB1" w:rsidRDefault="004E645E" w:rsidP="005F0D55">
            <w:pPr>
              <w:spacing w:line="276" w:lineRule="auto"/>
              <w:jc w:val="center"/>
            </w:pPr>
            <w:r>
              <w:t xml:space="preserve">План </w:t>
            </w:r>
            <w:r w:rsidRPr="00E93AB1">
              <w:t>20</w:t>
            </w:r>
            <w:r>
              <w:t>20</w:t>
            </w:r>
            <w:r w:rsidRPr="00E93AB1">
              <w:t>г.</w:t>
            </w:r>
            <w:r>
              <w:t xml:space="preserve"> </w:t>
            </w:r>
            <w:proofErr w:type="gramStart"/>
            <w:r w:rsidRPr="00E93AB1">
              <w:t>в</w:t>
            </w:r>
            <w:proofErr w:type="gramEnd"/>
            <w:r w:rsidRPr="00E93AB1">
              <w:t xml:space="preserve"> % к </w:t>
            </w:r>
            <w:r>
              <w:t xml:space="preserve">факту </w:t>
            </w:r>
            <w:r w:rsidRPr="00E93AB1">
              <w:t>201</w:t>
            </w:r>
            <w:r>
              <w:t>9</w:t>
            </w:r>
            <w:r w:rsidRPr="00E93AB1">
              <w:t>г.</w:t>
            </w:r>
          </w:p>
        </w:tc>
        <w:tc>
          <w:tcPr>
            <w:tcW w:w="1485" w:type="dxa"/>
            <w:vMerge w:val="restart"/>
            <w:vAlign w:val="center"/>
          </w:tcPr>
          <w:p w:rsidR="004E645E" w:rsidRPr="00E93AB1" w:rsidRDefault="004E645E" w:rsidP="005F0D55">
            <w:pPr>
              <w:spacing w:line="276" w:lineRule="auto"/>
              <w:jc w:val="center"/>
            </w:pPr>
            <w:r>
              <w:t xml:space="preserve">Выполнение плана 2020г. за </w:t>
            </w:r>
            <w:proofErr w:type="spellStart"/>
            <w:r>
              <w:t>янв</w:t>
            </w:r>
            <w:proofErr w:type="gramStart"/>
            <w:r>
              <w:t>.-</w:t>
            </w:r>
            <w:proofErr w:type="gramEnd"/>
            <w:r>
              <w:t>сентябрь</w:t>
            </w:r>
            <w:proofErr w:type="spellEnd"/>
          </w:p>
        </w:tc>
      </w:tr>
      <w:tr w:rsidR="004E645E" w:rsidRPr="00E93AB1" w:rsidTr="00B745DC">
        <w:trPr>
          <w:trHeight w:val="161"/>
          <w:jc w:val="center"/>
        </w:trPr>
        <w:tc>
          <w:tcPr>
            <w:tcW w:w="535" w:type="dxa"/>
            <w:vMerge/>
            <w:vAlign w:val="center"/>
          </w:tcPr>
          <w:p w:rsidR="004E645E" w:rsidRPr="00E93AB1" w:rsidRDefault="004E645E" w:rsidP="005F0D55">
            <w:pPr>
              <w:jc w:val="center"/>
            </w:pPr>
          </w:p>
        </w:tc>
        <w:tc>
          <w:tcPr>
            <w:tcW w:w="2254" w:type="dxa"/>
            <w:vMerge/>
            <w:vAlign w:val="center"/>
          </w:tcPr>
          <w:p w:rsidR="004E645E" w:rsidRPr="00E93AB1" w:rsidRDefault="004E645E" w:rsidP="005F0D55">
            <w:pPr>
              <w:jc w:val="center"/>
            </w:pPr>
          </w:p>
        </w:tc>
        <w:tc>
          <w:tcPr>
            <w:tcW w:w="1155" w:type="dxa"/>
            <w:vMerge/>
            <w:vAlign w:val="center"/>
          </w:tcPr>
          <w:p w:rsidR="004E645E" w:rsidRPr="00E93AB1" w:rsidRDefault="004E645E" w:rsidP="005F0D55">
            <w:pPr>
              <w:jc w:val="center"/>
            </w:pPr>
          </w:p>
        </w:tc>
        <w:tc>
          <w:tcPr>
            <w:tcW w:w="882" w:type="dxa"/>
            <w:vMerge/>
            <w:vAlign w:val="center"/>
          </w:tcPr>
          <w:p w:rsidR="004E645E" w:rsidRPr="00E93AB1" w:rsidRDefault="004E645E" w:rsidP="005F0D55">
            <w:pPr>
              <w:spacing w:line="276" w:lineRule="auto"/>
              <w:jc w:val="center"/>
            </w:pPr>
          </w:p>
        </w:tc>
        <w:tc>
          <w:tcPr>
            <w:tcW w:w="1073" w:type="dxa"/>
            <w:vAlign w:val="center"/>
          </w:tcPr>
          <w:p w:rsidR="004E645E" w:rsidRPr="00E93AB1" w:rsidRDefault="004E645E" w:rsidP="005F0D55">
            <w:pPr>
              <w:spacing w:line="276" w:lineRule="auto"/>
              <w:jc w:val="center"/>
            </w:pPr>
            <w:r>
              <w:t>план</w:t>
            </w:r>
          </w:p>
        </w:tc>
        <w:tc>
          <w:tcPr>
            <w:tcW w:w="1078" w:type="dxa"/>
            <w:vAlign w:val="center"/>
          </w:tcPr>
          <w:p w:rsidR="004E645E" w:rsidRPr="00E93AB1" w:rsidRDefault="004E645E" w:rsidP="005F0D55">
            <w:pPr>
              <w:spacing w:line="276" w:lineRule="auto"/>
              <w:jc w:val="center"/>
            </w:pPr>
            <w:r>
              <w:t xml:space="preserve">факт за </w:t>
            </w:r>
            <w:proofErr w:type="spellStart"/>
            <w:r>
              <w:t>янв</w:t>
            </w:r>
            <w:proofErr w:type="gramStart"/>
            <w:r>
              <w:t>.-</w:t>
            </w:r>
            <w:proofErr w:type="gramEnd"/>
            <w:r>
              <w:t>сентябрь</w:t>
            </w:r>
            <w:proofErr w:type="spellEnd"/>
          </w:p>
        </w:tc>
        <w:tc>
          <w:tcPr>
            <w:tcW w:w="1369" w:type="dxa"/>
            <w:vMerge/>
            <w:vAlign w:val="center"/>
          </w:tcPr>
          <w:p w:rsidR="004E645E" w:rsidRPr="00E93AB1" w:rsidRDefault="004E645E" w:rsidP="005F0D55">
            <w:pPr>
              <w:spacing w:line="276" w:lineRule="auto"/>
              <w:jc w:val="center"/>
            </w:pPr>
          </w:p>
        </w:tc>
        <w:tc>
          <w:tcPr>
            <w:tcW w:w="1485" w:type="dxa"/>
            <w:vMerge/>
          </w:tcPr>
          <w:p w:rsidR="004E645E" w:rsidRPr="00E93AB1" w:rsidRDefault="004E645E" w:rsidP="005F0D55">
            <w:pPr>
              <w:spacing w:line="276" w:lineRule="auto"/>
              <w:jc w:val="center"/>
            </w:pPr>
          </w:p>
        </w:tc>
      </w:tr>
      <w:tr w:rsidR="004E645E" w:rsidRPr="00E93AB1" w:rsidTr="00B745DC">
        <w:trPr>
          <w:trHeight w:val="413"/>
          <w:jc w:val="center"/>
        </w:trPr>
        <w:tc>
          <w:tcPr>
            <w:tcW w:w="535" w:type="dxa"/>
            <w:vAlign w:val="center"/>
          </w:tcPr>
          <w:p w:rsidR="004E645E" w:rsidRPr="00E93AB1" w:rsidRDefault="004E645E" w:rsidP="005F0D55">
            <w:pPr>
              <w:jc w:val="center"/>
            </w:pPr>
            <w:r w:rsidRPr="00E93AB1">
              <w:t>1</w:t>
            </w:r>
          </w:p>
        </w:tc>
        <w:tc>
          <w:tcPr>
            <w:tcW w:w="2254" w:type="dxa"/>
            <w:vAlign w:val="center"/>
          </w:tcPr>
          <w:p w:rsidR="004E645E" w:rsidRPr="00E93AB1" w:rsidRDefault="004E645E" w:rsidP="005F0D55">
            <w:r>
              <w:t>Молоко</w:t>
            </w:r>
          </w:p>
        </w:tc>
        <w:tc>
          <w:tcPr>
            <w:tcW w:w="1155" w:type="dxa"/>
            <w:vAlign w:val="center"/>
          </w:tcPr>
          <w:p w:rsidR="004E645E" w:rsidRPr="00E93AB1" w:rsidRDefault="004E645E" w:rsidP="005F0D55">
            <w:pPr>
              <w:jc w:val="center"/>
            </w:pPr>
            <w:r>
              <w:t>тонн</w:t>
            </w:r>
          </w:p>
        </w:tc>
        <w:tc>
          <w:tcPr>
            <w:tcW w:w="882" w:type="dxa"/>
            <w:vAlign w:val="center"/>
          </w:tcPr>
          <w:p w:rsidR="004E645E" w:rsidRPr="00E93AB1" w:rsidRDefault="004E645E" w:rsidP="005F0D55">
            <w:pPr>
              <w:spacing w:line="276" w:lineRule="auto"/>
              <w:jc w:val="center"/>
            </w:pPr>
            <w:r>
              <w:t>19378,1</w:t>
            </w:r>
          </w:p>
        </w:tc>
        <w:tc>
          <w:tcPr>
            <w:tcW w:w="1073" w:type="dxa"/>
            <w:vAlign w:val="center"/>
          </w:tcPr>
          <w:p w:rsidR="004E645E" w:rsidRPr="00E93AB1" w:rsidRDefault="004E645E" w:rsidP="005F0D55">
            <w:pPr>
              <w:spacing w:line="276" w:lineRule="auto"/>
              <w:jc w:val="center"/>
            </w:pPr>
            <w:r>
              <w:t>19770,0</w:t>
            </w:r>
          </w:p>
        </w:tc>
        <w:tc>
          <w:tcPr>
            <w:tcW w:w="1078" w:type="dxa"/>
            <w:vAlign w:val="center"/>
          </w:tcPr>
          <w:p w:rsidR="004E645E" w:rsidRPr="00E93AB1" w:rsidRDefault="004E645E" w:rsidP="005F0D55">
            <w:pPr>
              <w:spacing w:line="276" w:lineRule="auto"/>
              <w:jc w:val="center"/>
            </w:pPr>
            <w:r>
              <w:t>17108,9</w:t>
            </w:r>
          </w:p>
        </w:tc>
        <w:tc>
          <w:tcPr>
            <w:tcW w:w="1369" w:type="dxa"/>
            <w:vAlign w:val="center"/>
          </w:tcPr>
          <w:p w:rsidR="004E645E" w:rsidRPr="00E93AB1" w:rsidRDefault="004E645E" w:rsidP="005F0D55">
            <w:pPr>
              <w:spacing w:line="276" w:lineRule="auto"/>
              <w:jc w:val="center"/>
            </w:pPr>
            <w:r>
              <w:t>102,0</w:t>
            </w:r>
          </w:p>
        </w:tc>
        <w:tc>
          <w:tcPr>
            <w:tcW w:w="1485" w:type="dxa"/>
            <w:vAlign w:val="center"/>
          </w:tcPr>
          <w:p w:rsidR="004E645E" w:rsidRPr="00E93AB1" w:rsidRDefault="004E645E" w:rsidP="005F0D55">
            <w:pPr>
              <w:spacing w:line="276" w:lineRule="auto"/>
              <w:jc w:val="center"/>
            </w:pPr>
            <w:r>
              <w:t>86,5</w:t>
            </w:r>
          </w:p>
        </w:tc>
      </w:tr>
      <w:tr w:rsidR="004E645E" w:rsidRPr="00E93AB1" w:rsidTr="00B745DC">
        <w:trPr>
          <w:trHeight w:val="363"/>
          <w:jc w:val="center"/>
        </w:trPr>
        <w:tc>
          <w:tcPr>
            <w:tcW w:w="535" w:type="dxa"/>
            <w:vAlign w:val="center"/>
          </w:tcPr>
          <w:p w:rsidR="004E645E" w:rsidRPr="00E93AB1" w:rsidRDefault="004E645E" w:rsidP="005F0D55">
            <w:pPr>
              <w:jc w:val="center"/>
            </w:pPr>
            <w:r w:rsidRPr="00E93AB1">
              <w:t>2</w:t>
            </w:r>
          </w:p>
        </w:tc>
        <w:tc>
          <w:tcPr>
            <w:tcW w:w="2254" w:type="dxa"/>
            <w:vAlign w:val="center"/>
          </w:tcPr>
          <w:p w:rsidR="004E645E" w:rsidRPr="00E93AB1" w:rsidRDefault="004E645E" w:rsidP="005F0D55">
            <w:pPr>
              <w:tabs>
                <w:tab w:val="left" w:pos="243"/>
                <w:tab w:val="center" w:pos="1860"/>
              </w:tabs>
            </w:pPr>
            <w:r>
              <w:t>Скот и птица на убой в живом весе</w:t>
            </w:r>
          </w:p>
        </w:tc>
        <w:tc>
          <w:tcPr>
            <w:tcW w:w="1155" w:type="dxa"/>
            <w:vAlign w:val="center"/>
          </w:tcPr>
          <w:p w:rsidR="004E645E" w:rsidRPr="00E93AB1" w:rsidRDefault="004E645E" w:rsidP="005F0D55">
            <w:pPr>
              <w:jc w:val="center"/>
            </w:pPr>
            <w:r w:rsidRPr="00E93AB1">
              <w:t>тонн</w:t>
            </w:r>
          </w:p>
        </w:tc>
        <w:tc>
          <w:tcPr>
            <w:tcW w:w="882" w:type="dxa"/>
            <w:vAlign w:val="center"/>
          </w:tcPr>
          <w:p w:rsidR="004E645E" w:rsidRPr="00E93AB1" w:rsidRDefault="004E645E" w:rsidP="005F0D55">
            <w:pPr>
              <w:spacing w:line="276" w:lineRule="auto"/>
              <w:jc w:val="center"/>
            </w:pPr>
            <w:r>
              <w:t>3882,7</w:t>
            </w:r>
          </w:p>
        </w:tc>
        <w:tc>
          <w:tcPr>
            <w:tcW w:w="1073" w:type="dxa"/>
            <w:vAlign w:val="center"/>
          </w:tcPr>
          <w:p w:rsidR="004E645E" w:rsidRPr="00E93AB1" w:rsidRDefault="004E645E" w:rsidP="005F0D55">
            <w:pPr>
              <w:spacing w:line="276" w:lineRule="auto"/>
              <w:jc w:val="center"/>
            </w:pPr>
            <w:r>
              <w:t>3900</w:t>
            </w:r>
          </w:p>
        </w:tc>
        <w:tc>
          <w:tcPr>
            <w:tcW w:w="1078" w:type="dxa"/>
            <w:vAlign w:val="center"/>
          </w:tcPr>
          <w:p w:rsidR="004E645E" w:rsidRPr="00E93AB1" w:rsidRDefault="004E645E" w:rsidP="005F0D55">
            <w:pPr>
              <w:spacing w:line="276" w:lineRule="auto"/>
              <w:jc w:val="center"/>
            </w:pPr>
            <w:r>
              <w:t>2852,1</w:t>
            </w:r>
          </w:p>
        </w:tc>
        <w:tc>
          <w:tcPr>
            <w:tcW w:w="1369" w:type="dxa"/>
            <w:vAlign w:val="center"/>
          </w:tcPr>
          <w:p w:rsidR="004E645E" w:rsidRPr="00E93AB1" w:rsidRDefault="004E645E" w:rsidP="005F0D55">
            <w:pPr>
              <w:spacing w:line="276" w:lineRule="auto"/>
              <w:jc w:val="center"/>
            </w:pPr>
            <w:r>
              <w:t>100,4</w:t>
            </w:r>
          </w:p>
        </w:tc>
        <w:tc>
          <w:tcPr>
            <w:tcW w:w="1485" w:type="dxa"/>
            <w:vAlign w:val="center"/>
          </w:tcPr>
          <w:p w:rsidR="004E645E" w:rsidRPr="00E93AB1" w:rsidRDefault="004E645E" w:rsidP="005F0D55">
            <w:pPr>
              <w:spacing w:line="276" w:lineRule="auto"/>
              <w:jc w:val="center"/>
            </w:pPr>
            <w:r>
              <w:t>73,1</w:t>
            </w:r>
          </w:p>
        </w:tc>
      </w:tr>
      <w:tr w:rsidR="004E645E" w:rsidRPr="00E93AB1" w:rsidTr="00B745DC">
        <w:trPr>
          <w:trHeight w:val="350"/>
          <w:jc w:val="center"/>
        </w:trPr>
        <w:tc>
          <w:tcPr>
            <w:tcW w:w="535" w:type="dxa"/>
            <w:vAlign w:val="center"/>
          </w:tcPr>
          <w:p w:rsidR="004E645E" w:rsidRPr="00E93AB1" w:rsidRDefault="004E645E" w:rsidP="005F0D55">
            <w:pPr>
              <w:jc w:val="center"/>
            </w:pPr>
            <w:r w:rsidRPr="00E93AB1">
              <w:t>3</w:t>
            </w:r>
          </w:p>
        </w:tc>
        <w:tc>
          <w:tcPr>
            <w:tcW w:w="2254" w:type="dxa"/>
            <w:vAlign w:val="center"/>
          </w:tcPr>
          <w:p w:rsidR="004E645E" w:rsidRPr="00E93AB1" w:rsidRDefault="004E645E" w:rsidP="005F0D55">
            <w:r>
              <w:t>Яйца</w:t>
            </w:r>
          </w:p>
        </w:tc>
        <w:tc>
          <w:tcPr>
            <w:tcW w:w="1155" w:type="dxa"/>
            <w:vAlign w:val="center"/>
          </w:tcPr>
          <w:p w:rsidR="004E645E" w:rsidRPr="00E93AB1" w:rsidRDefault="004E645E" w:rsidP="005F0D55">
            <w:pPr>
              <w:jc w:val="center"/>
            </w:pPr>
            <w:r>
              <w:t>тыс.шт.</w:t>
            </w:r>
          </w:p>
        </w:tc>
        <w:tc>
          <w:tcPr>
            <w:tcW w:w="882" w:type="dxa"/>
            <w:vAlign w:val="center"/>
          </w:tcPr>
          <w:p w:rsidR="004E645E" w:rsidRPr="00E93AB1" w:rsidRDefault="004E645E" w:rsidP="005F0D55">
            <w:pPr>
              <w:spacing w:line="276" w:lineRule="auto"/>
              <w:jc w:val="center"/>
            </w:pPr>
            <w:r>
              <w:t>6913</w:t>
            </w:r>
          </w:p>
        </w:tc>
        <w:tc>
          <w:tcPr>
            <w:tcW w:w="1073" w:type="dxa"/>
            <w:vAlign w:val="center"/>
          </w:tcPr>
          <w:p w:rsidR="004E645E" w:rsidRPr="00E93AB1" w:rsidRDefault="004E645E" w:rsidP="005F0D55">
            <w:pPr>
              <w:spacing w:line="276" w:lineRule="auto"/>
              <w:jc w:val="center"/>
            </w:pPr>
            <w:r>
              <w:t>6930</w:t>
            </w:r>
          </w:p>
        </w:tc>
        <w:tc>
          <w:tcPr>
            <w:tcW w:w="1078" w:type="dxa"/>
            <w:vAlign w:val="center"/>
          </w:tcPr>
          <w:p w:rsidR="004E645E" w:rsidRPr="00E93AB1" w:rsidRDefault="004E645E" w:rsidP="005F0D55">
            <w:pPr>
              <w:spacing w:line="276" w:lineRule="auto"/>
              <w:jc w:val="center"/>
            </w:pPr>
            <w:r>
              <w:t>4616</w:t>
            </w:r>
          </w:p>
        </w:tc>
        <w:tc>
          <w:tcPr>
            <w:tcW w:w="1369" w:type="dxa"/>
            <w:vAlign w:val="center"/>
          </w:tcPr>
          <w:p w:rsidR="004E645E" w:rsidRPr="00E93AB1" w:rsidRDefault="004E645E" w:rsidP="005F0D55">
            <w:pPr>
              <w:spacing w:line="276" w:lineRule="auto"/>
              <w:jc w:val="center"/>
            </w:pPr>
            <w:r>
              <w:t>100,2</w:t>
            </w:r>
          </w:p>
        </w:tc>
        <w:tc>
          <w:tcPr>
            <w:tcW w:w="1485" w:type="dxa"/>
          </w:tcPr>
          <w:p w:rsidR="004E645E" w:rsidRDefault="004E645E" w:rsidP="005F0D55">
            <w:pPr>
              <w:spacing w:line="276" w:lineRule="auto"/>
              <w:jc w:val="center"/>
            </w:pPr>
            <w:r>
              <w:t>66,6</w:t>
            </w:r>
          </w:p>
        </w:tc>
      </w:tr>
      <w:tr w:rsidR="004E645E" w:rsidRPr="00E93AB1" w:rsidTr="00B745DC">
        <w:trPr>
          <w:trHeight w:val="363"/>
          <w:jc w:val="center"/>
        </w:trPr>
        <w:tc>
          <w:tcPr>
            <w:tcW w:w="535" w:type="dxa"/>
            <w:vAlign w:val="center"/>
          </w:tcPr>
          <w:p w:rsidR="004E645E" w:rsidRPr="00E93AB1" w:rsidRDefault="004E645E" w:rsidP="005F0D55">
            <w:pPr>
              <w:jc w:val="center"/>
            </w:pPr>
            <w:r w:rsidRPr="00E93AB1">
              <w:t>4</w:t>
            </w:r>
          </w:p>
        </w:tc>
        <w:tc>
          <w:tcPr>
            <w:tcW w:w="2254" w:type="dxa"/>
            <w:vAlign w:val="center"/>
          </w:tcPr>
          <w:p w:rsidR="004E645E" w:rsidRPr="00E93AB1" w:rsidRDefault="004E645E" w:rsidP="005F0D55">
            <w:r>
              <w:t>Шерсть</w:t>
            </w:r>
          </w:p>
        </w:tc>
        <w:tc>
          <w:tcPr>
            <w:tcW w:w="1155" w:type="dxa"/>
            <w:vAlign w:val="center"/>
          </w:tcPr>
          <w:p w:rsidR="004E645E" w:rsidRPr="00E93AB1" w:rsidRDefault="004E645E" w:rsidP="005F0D55">
            <w:pPr>
              <w:jc w:val="center"/>
            </w:pPr>
            <w:r>
              <w:t>центнеров</w:t>
            </w:r>
          </w:p>
        </w:tc>
        <w:tc>
          <w:tcPr>
            <w:tcW w:w="882" w:type="dxa"/>
            <w:vAlign w:val="center"/>
          </w:tcPr>
          <w:p w:rsidR="004E645E" w:rsidRPr="00E93AB1" w:rsidRDefault="004E645E" w:rsidP="005F0D55">
            <w:pPr>
              <w:spacing w:line="276" w:lineRule="auto"/>
              <w:jc w:val="center"/>
            </w:pPr>
            <w:r>
              <w:t>287</w:t>
            </w:r>
          </w:p>
        </w:tc>
        <w:tc>
          <w:tcPr>
            <w:tcW w:w="1073" w:type="dxa"/>
            <w:vAlign w:val="center"/>
          </w:tcPr>
          <w:p w:rsidR="004E645E" w:rsidRPr="00E93AB1" w:rsidRDefault="004E645E" w:rsidP="005F0D55">
            <w:pPr>
              <w:spacing w:line="276" w:lineRule="auto"/>
              <w:jc w:val="center"/>
            </w:pPr>
            <w:r>
              <w:t>289</w:t>
            </w:r>
          </w:p>
        </w:tc>
        <w:tc>
          <w:tcPr>
            <w:tcW w:w="1078" w:type="dxa"/>
            <w:vAlign w:val="center"/>
          </w:tcPr>
          <w:p w:rsidR="004E645E" w:rsidRPr="00E93AB1" w:rsidRDefault="004E645E" w:rsidP="005F0D55">
            <w:pPr>
              <w:spacing w:line="276" w:lineRule="auto"/>
              <w:jc w:val="center"/>
            </w:pPr>
            <w:r>
              <w:t>323</w:t>
            </w:r>
          </w:p>
        </w:tc>
        <w:tc>
          <w:tcPr>
            <w:tcW w:w="1369" w:type="dxa"/>
            <w:vAlign w:val="center"/>
          </w:tcPr>
          <w:p w:rsidR="004E645E" w:rsidRPr="00E93AB1" w:rsidRDefault="004E645E" w:rsidP="005F0D55">
            <w:pPr>
              <w:spacing w:line="276" w:lineRule="auto"/>
              <w:jc w:val="center"/>
            </w:pPr>
            <w:r>
              <w:t>100,7</w:t>
            </w:r>
          </w:p>
        </w:tc>
        <w:tc>
          <w:tcPr>
            <w:tcW w:w="1485" w:type="dxa"/>
          </w:tcPr>
          <w:p w:rsidR="004E645E" w:rsidRDefault="004E645E" w:rsidP="005F0D55">
            <w:pPr>
              <w:spacing w:line="276" w:lineRule="auto"/>
              <w:jc w:val="center"/>
            </w:pPr>
            <w:r>
              <w:t>111,8</w:t>
            </w:r>
          </w:p>
        </w:tc>
      </w:tr>
    </w:tbl>
    <w:p w:rsidR="00B03C17" w:rsidRDefault="00B03C17" w:rsidP="006F5AD2">
      <w:pPr>
        <w:spacing w:after="0" w:line="240" w:lineRule="auto"/>
        <w:ind w:firstLine="709"/>
        <w:jc w:val="both"/>
        <w:rPr>
          <w:rFonts w:ascii="Times New Roman" w:hAnsi="Times New Roman" w:cs="Times New Roman"/>
          <w:sz w:val="24"/>
          <w:szCs w:val="24"/>
        </w:rPr>
      </w:pPr>
    </w:p>
    <w:p w:rsidR="004E645E" w:rsidRPr="006F5AD2" w:rsidRDefault="004E645E" w:rsidP="006F5AD2">
      <w:pPr>
        <w:spacing w:after="0" w:line="240" w:lineRule="auto"/>
        <w:ind w:firstLine="709"/>
        <w:jc w:val="both"/>
        <w:rPr>
          <w:rFonts w:ascii="Times New Roman" w:hAnsi="Times New Roman" w:cs="Times New Roman"/>
          <w:sz w:val="24"/>
          <w:szCs w:val="24"/>
        </w:rPr>
      </w:pPr>
      <w:r w:rsidRPr="006F5AD2">
        <w:rPr>
          <w:rFonts w:ascii="Times New Roman" w:hAnsi="Times New Roman" w:cs="Times New Roman"/>
          <w:sz w:val="24"/>
          <w:szCs w:val="24"/>
        </w:rPr>
        <w:t>В соответствии с заключенным Соглашением между Министерством сельского  хозяйства РБ и Администрацией МР Белебеевский район РБ установлены целевые индикаторы по производству основных продуктов животноводства:</w:t>
      </w:r>
    </w:p>
    <w:p w:rsidR="004E645E" w:rsidRPr="006F5AD2" w:rsidRDefault="004E645E" w:rsidP="006F5AD2">
      <w:pPr>
        <w:pStyle w:val="a6"/>
        <w:numPr>
          <w:ilvl w:val="0"/>
          <w:numId w:val="5"/>
        </w:numPr>
        <w:tabs>
          <w:tab w:val="left" w:pos="993"/>
        </w:tabs>
        <w:spacing w:after="0" w:line="240" w:lineRule="auto"/>
        <w:ind w:left="709" w:hanging="11"/>
        <w:jc w:val="both"/>
        <w:rPr>
          <w:rFonts w:ascii="Times New Roman" w:eastAsiaTheme="minorEastAsia" w:hAnsi="Times New Roman"/>
          <w:sz w:val="24"/>
          <w:szCs w:val="24"/>
          <w:lang w:eastAsia="ru-RU"/>
        </w:rPr>
      </w:pPr>
      <w:r w:rsidRPr="006F5AD2">
        <w:rPr>
          <w:rFonts w:ascii="Times New Roman" w:eastAsiaTheme="minorEastAsia" w:hAnsi="Times New Roman"/>
          <w:sz w:val="24"/>
          <w:szCs w:val="24"/>
          <w:lang w:eastAsia="ru-RU"/>
        </w:rPr>
        <w:t>объем производства товарного молока (СХП+КФХ): 2020г. – 12900 тонн, 2021г. – 13623 тонн, 2022г. – 13982 тонн, 2023г. – 34640 тонн, 2024г. – 64940 тонн;</w:t>
      </w:r>
    </w:p>
    <w:p w:rsidR="004E645E" w:rsidRPr="006F5AD2" w:rsidRDefault="004E645E" w:rsidP="006F5AD2">
      <w:pPr>
        <w:pStyle w:val="a6"/>
        <w:numPr>
          <w:ilvl w:val="0"/>
          <w:numId w:val="5"/>
        </w:numPr>
        <w:tabs>
          <w:tab w:val="left" w:pos="993"/>
        </w:tabs>
        <w:spacing w:after="0" w:line="240" w:lineRule="auto"/>
        <w:ind w:left="709" w:hanging="11"/>
        <w:jc w:val="both"/>
        <w:rPr>
          <w:rFonts w:ascii="Times New Roman" w:eastAsiaTheme="minorEastAsia" w:hAnsi="Times New Roman"/>
          <w:sz w:val="24"/>
          <w:szCs w:val="24"/>
          <w:lang w:eastAsia="ru-RU"/>
        </w:rPr>
      </w:pPr>
      <w:r w:rsidRPr="006F5AD2">
        <w:rPr>
          <w:rFonts w:ascii="Times New Roman" w:eastAsiaTheme="minorEastAsia" w:hAnsi="Times New Roman"/>
          <w:sz w:val="24"/>
          <w:szCs w:val="24"/>
          <w:lang w:eastAsia="ru-RU"/>
        </w:rPr>
        <w:t>объем производства скота и птицы на убой в живом весе (ВКХ): 2020г. – 3589 тонн, 2021г. – 3661 тонн, 2022г. – 3734 тонн, 2023г. – 11309 тонн, 2024г. – 11535 тонн.</w:t>
      </w:r>
    </w:p>
    <w:p w:rsidR="004E645E" w:rsidRPr="006F5AD2" w:rsidRDefault="004E645E" w:rsidP="006F5AD2">
      <w:pPr>
        <w:pStyle w:val="a6"/>
        <w:tabs>
          <w:tab w:val="left" w:pos="993"/>
        </w:tabs>
        <w:spacing w:after="0" w:line="240" w:lineRule="auto"/>
        <w:ind w:left="709"/>
        <w:jc w:val="both"/>
        <w:rPr>
          <w:rFonts w:ascii="Times New Roman" w:eastAsiaTheme="minorEastAsia" w:hAnsi="Times New Roman"/>
          <w:sz w:val="24"/>
          <w:szCs w:val="24"/>
          <w:lang w:eastAsia="ru-RU"/>
        </w:rPr>
      </w:pPr>
    </w:p>
    <w:p w:rsidR="004E645E" w:rsidRPr="006F5AD2" w:rsidRDefault="004E645E" w:rsidP="006F5AD2">
      <w:pPr>
        <w:spacing w:after="0" w:line="240" w:lineRule="auto"/>
        <w:ind w:firstLine="709"/>
        <w:jc w:val="both"/>
        <w:rPr>
          <w:rFonts w:ascii="Times New Roman" w:hAnsi="Times New Roman" w:cs="Times New Roman"/>
          <w:sz w:val="24"/>
          <w:szCs w:val="24"/>
        </w:rPr>
      </w:pPr>
      <w:r w:rsidRPr="006F5AD2">
        <w:rPr>
          <w:rFonts w:ascii="Times New Roman" w:hAnsi="Times New Roman" w:cs="Times New Roman"/>
          <w:sz w:val="24"/>
          <w:szCs w:val="24"/>
        </w:rPr>
        <w:t xml:space="preserve">По состоянию на 1 октября текущего года в хозяйствах района отмечается снижение поголовья основных сельскохозяйственных животных к соответствующему периоду прошлого года: поголовье крупного рогатого скота снизилось на 408 голов, в том числе коров – на 184 головы, свиньи – на 685 голов, овцы и козы – на 69 голов, лошади – на 52 головы. В то же время в сельскохозяйственных организациях отмечается повышение продуктивности коров молочного стада на 241 кг к уровню 2019 года – 3769 кг молока в расчете на 1 корову и среднесуточного привеса крупного рогатого скота на 6 грамм к уровню прошлого года – 535 грамм. </w:t>
      </w:r>
    </w:p>
    <w:p w:rsidR="004E645E" w:rsidRPr="006F5AD2" w:rsidRDefault="004E645E" w:rsidP="006F5AD2">
      <w:pPr>
        <w:spacing w:after="0" w:line="240" w:lineRule="auto"/>
        <w:ind w:firstLine="709"/>
        <w:jc w:val="both"/>
        <w:rPr>
          <w:rFonts w:ascii="Times New Roman" w:hAnsi="Times New Roman" w:cs="Times New Roman"/>
          <w:sz w:val="24"/>
          <w:szCs w:val="24"/>
        </w:rPr>
      </w:pPr>
    </w:p>
    <w:p w:rsidR="004E645E" w:rsidRPr="006F5AD2" w:rsidRDefault="004E645E" w:rsidP="006F5AD2">
      <w:pPr>
        <w:spacing w:after="0" w:line="240" w:lineRule="auto"/>
        <w:ind w:firstLine="709"/>
        <w:jc w:val="both"/>
        <w:rPr>
          <w:rFonts w:ascii="Times New Roman" w:hAnsi="Times New Roman" w:cs="Times New Roman"/>
          <w:sz w:val="24"/>
          <w:szCs w:val="24"/>
        </w:rPr>
      </w:pPr>
      <w:r w:rsidRPr="006F5AD2">
        <w:rPr>
          <w:rFonts w:ascii="Times New Roman" w:hAnsi="Times New Roman" w:cs="Times New Roman"/>
          <w:sz w:val="24"/>
          <w:szCs w:val="24"/>
        </w:rPr>
        <w:t>Объем государственной поддержки отрасли животноводства за 9 месяцев текущего года составил 10,2 млн. рублей. Господдержка была представлена субсидиями:</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на 1 килограмм реализованного молока – 5,2 млн. рублей;</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компенсация части затрат на приобретение сельскохозяйственной техники – 1,4 млн. рублей;</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возмещение части процентной ставки по инвестиционным кредитам на развитие животноводства – 1,0 млн. рублей;</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на развитие племенного животноводства – 1,0 млн. рублей;</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на содержание товарного поголовья коров специализированных мясных пород – 0,8 млн. рублей;</w:t>
      </w:r>
    </w:p>
    <w:p w:rsidR="004E645E" w:rsidRPr="006F5AD2" w:rsidRDefault="004E645E" w:rsidP="006F5AD2">
      <w:pPr>
        <w:numPr>
          <w:ilvl w:val="0"/>
          <w:numId w:val="4"/>
        </w:numPr>
        <w:spacing w:after="0" w:line="240" w:lineRule="auto"/>
        <w:jc w:val="both"/>
        <w:rPr>
          <w:rFonts w:ascii="Times New Roman" w:hAnsi="Times New Roman" w:cs="Times New Roman"/>
          <w:sz w:val="24"/>
          <w:szCs w:val="24"/>
        </w:rPr>
      </w:pPr>
      <w:r w:rsidRPr="006F5AD2">
        <w:rPr>
          <w:rFonts w:ascii="Times New Roman" w:hAnsi="Times New Roman" w:cs="Times New Roman"/>
          <w:sz w:val="24"/>
          <w:szCs w:val="24"/>
        </w:rPr>
        <w:t>на развитие овцеводства – 0,8 млн. рублей.</w:t>
      </w:r>
    </w:p>
    <w:p w:rsidR="004E645E" w:rsidRPr="006F5AD2" w:rsidRDefault="004E645E" w:rsidP="006F5AD2">
      <w:pPr>
        <w:spacing w:after="0" w:line="240" w:lineRule="auto"/>
        <w:jc w:val="both"/>
        <w:rPr>
          <w:rFonts w:ascii="Times New Roman" w:hAnsi="Times New Roman" w:cs="Times New Roman"/>
          <w:sz w:val="24"/>
          <w:szCs w:val="24"/>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На период  2021–2023 годов намечен ежегодный рост производства валовой продукции сельского хозяйства. По консервативному варианту на уровне 101,8-102,0%, по базовому варианту – 102,6-115,74%, по целевому варианту – 104,0-135,99%.</w:t>
      </w:r>
    </w:p>
    <w:p w:rsidR="004E645E" w:rsidRPr="006F5AD2" w:rsidRDefault="004E645E" w:rsidP="006F5AD2">
      <w:pPr>
        <w:pStyle w:val="a7"/>
        <w:spacing w:after="0"/>
        <w:ind w:left="0" w:firstLine="709"/>
        <w:jc w:val="both"/>
        <w:rPr>
          <w:rFonts w:eastAsiaTheme="minorEastAsia"/>
        </w:rPr>
      </w:pPr>
      <w:r w:rsidRPr="006F5AD2">
        <w:rPr>
          <w:rFonts w:eastAsiaTheme="minorEastAsia"/>
        </w:rPr>
        <w:t>При этом в 2022 году прогнозируется индекс продукции сельского хозяйства по базовому варианту на уровне 112,42%, по целевому варианту – 123,8%, в связи с  реализацией инвестиционного проекта ООО «Северная Нива Башкирия» – «Молочный комплекс на 3300 голов в д</w:t>
      </w:r>
      <w:proofErr w:type="gramStart"/>
      <w:r w:rsidRPr="006F5AD2">
        <w:rPr>
          <w:rFonts w:eastAsiaTheme="minorEastAsia"/>
        </w:rPr>
        <w:t>.Р</w:t>
      </w:r>
      <w:proofErr w:type="gramEnd"/>
      <w:r w:rsidRPr="006F5AD2">
        <w:rPr>
          <w:rFonts w:eastAsiaTheme="minorEastAsia"/>
        </w:rPr>
        <w:t xml:space="preserve">усская Швейцария </w:t>
      </w:r>
      <w:proofErr w:type="spellStart"/>
      <w:r w:rsidRPr="006F5AD2">
        <w:rPr>
          <w:rFonts w:eastAsiaTheme="minorEastAsia"/>
        </w:rPr>
        <w:t>Максим-Горьковского</w:t>
      </w:r>
      <w:proofErr w:type="spellEnd"/>
      <w:r w:rsidRPr="006F5AD2">
        <w:rPr>
          <w:rFonts w:eastAsiaTheme="minorEastAsia"/>
        </w:rPr>
        <w:t xml:space="preserve"> сельсовета» с объемом валового производства молока 26700 тонн в год. </w:t>
      </w:r>
    </w:p>
    <w:p w:rsidR="004E645E" w:rsidRPr="006F5AD2" w:rsidRDefault="004E645E" w:rsidP="006F5AD2">
      <w:pPr>
        <w:pStyle w:val="a7"/>
        <w:spacing w:after="0"/>
        <w:ind w:left="0" w:firstLine="709"/>
        <w:jc w:val="both"/>
        <w:rPr>
          <w:rFonts w:eastAsiaTheme="minorEastAsia"/>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В 2023 году прогнозируется индекс продукции сельского хозяйства по базовому варианту на уровне 115,74%, по целевому варианту – 135,99%, в связи с  реализацией двух инвестиционных проектов ГК «</w:t>
      </w:r>
      <w:proofErr w:type="spellStart"/>
      <w:r w:rsidRPr="006F5AD2">
        <w:rPr>
          <w:rFonts w:eastAsiaTheme="minorEastAsia"/>
        </w:rPr>
        <w:t>Таврос</w:t>
      </w:r>
      <w:proofErr w:type="spellEnd"/>
      <w:r w:rsidRPr="006F5AD2">
        <w:rPr>
          <w:rFonts w:eastAsiaTheme="minorEastAsia"/>
        </w:rPr>
        <w:t>»:</w:t>
      </w:r>
    </w:p>
    <w:p w:rsidR="004E645E" w:rsidRPr="006F5AD2" w:rsidRDefault="004E645E" w:rsidP="006F5AD2">
      <w:pPr>
        <w:pStyle w:val="a7"/>
        <w:numPr>
          <w:ilvl w:val="0"/>
          <w:numId w:val="6"/>
        </w:numPr>
        <w:spacing w:after="0"/>
        <w:jc w:val="both"/>
        <w:rPr>
          <w:rFonts w:eastAsiaTheme="minorEastAsia"/>
        </w:rPr>
      </w:pPr>
      <w:r w:rsidRPr="006F5AD2">
        <w:rPr>
          <w:rFonts w:eastAsiaTheme="minorEastAsia"/>
        </w:rPr>
        <w:t>создание современного свиноводческого комплекса на 2700 голов свиноматок;</w:t>
      </w:r>
    </w:p>
    <w:p w:rsidR="004E645E" w:rsidRPr="006F5AD2" w:rsidRDefault="004E645E" w:rsidP="006F5AD2">
      <w:pPr>
        <w:pStyle w:val="a7"/>
        <w:numPr>
          <w:ilvl w:val="0"/>
          <w:numId w:val="6"/>
        </w:numPr>
        <w:spacing w:after="0"/>
        <w:jc w:val="both"/>
        <w:rPr>
          <w:rFonts w:eastAsiaTheme="minorEastAsia"/>
        </w:rPr>
      </w:pPr>
      <w:r w:rsidRPr="006F5AD2">
        <w:rPr>
          <w:rFonts w:eastAsiaTheme="minorEastAsia"/>
        </w:rPr>
        <w:t>создание современной откормочной площадки на 33-35 тыс. голов свиней.</w:t>
      </w:r>
    </w:p>
    <w:p w:rsidR="004E645E" w:rsidRPr="006F5AD2" w:rsidRDefault="004E645E" w:rsidP="006F5AD2">
      <w:pPr>
        <w:pStyle w:val="a7"/>
        <w:spacing w:after="0"/>
        <w:ind w:left="0" w:firstLine="709"/>
        <w:jc w:val="both"/>
        <w:rPr>
          <w:rFonts w:eastAsiaTheme="minorEastAsia"/>
        </w:rPr>
      </w:pPr>
      <w:r w:rsidRPr="006F5AD2">
        <w:rPr>
          <w:rFonts w:eastAsiaTheme="minorEastAsia"/>
        </w:rPr>
        <w:t>В отрасли растениеводства факторами увеличения производства будут: увеличение посевных площадей сельскохозяйственных культур, ввод в оборот неиспользуемой пашни, увеличение урожайности за счет использования семян элитных сортов сельскохозяйственных культур, внесения минеральных и органических удобрений, своевременное проведение севооборотов.</w:t>
      </w:r>
    </w:p>
    <w:p w:rsidR="004E645E" w:rsidRPr="006F5AD2" w:rsidRDefault="004E645E" w:rsidP="006F5AD2">
      <w:pPr>
        <w:pStyle w:val="a7"/>
        <w:spacing w:after="0"/>
        <w:ind w:left="0" w:firstLine="709"/>
        <w:jc w:val="both"/>
        <w:rPr>
          <w:rFonts w:eastAsiaTheme="minorEastAsia"/>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В 2022, 2023 запланирован высокий рост объемов производства скота и птицы в живом весе (выращивание) в связи с реализацией инвестиционного проекта ООО «Северная Нива Башкирия» – «Молочный комплекс на 3300 голов в д</w:t>
      </w:r>
      <w:proofErr w:type="gramStart"/>
      <w:r w:rsidRPr="006F5AD2">
        <w:rPr>
          <w:rFonts w:eastAsiaTheme="minorEastAsia"/>
        </w:rPr>
        <w:t>.Р</w:t>
      </w:r>
      <w:proofErr w:type="gramEnd"/>
      <w:r w:rsidRPr="006F5AD2">
        <w:rPr>
          <w:rFonts w:eastAsiaTheme="minorEastAsia"/>
        </w:rPr>
        <w:t xml:space="preserve">усская Швейцария </w:t>
      </w:r>
      <w:proofErr w:type="spellStart"/>
      <w:r w:rsidRPr="006F5AD2">
        <w:rPr>
          <w:rFonts w:eastAsiaTheme="minorEastAsia"/>
        </w:rPr>
        <w:t>Максим-Горьковского</w:t>
      </w:r>
      <w:proofErr w:type="spellEnd"/>
      <w:r w:rsidRPr="006F5AD2">
        <w:rPr>
          <w:rFonts w:eastAsiaTheme="minorEastAsia"/>
        </w:rPr>
        <w:t xml:space="preserve"> сельсовета» с объемом валового производства молока 26700 тонн и реализацией двух инвестиционных проектов ГК «</w:t>
      </w:r>
      <w:proofErr w:type="spellStart"/>
      <w:r w:rsidRPr="006F5AD2">
        <w:rPr>
          <w:rFonts w:eastAsiaTheme="minorEastAsia"/>
        </w:rPr>
        <w:t>Таврос</w:t>
      </w:r>
      <w:proofErr w:type="spellEnd"/>
      <w:r w:rsidRPr="006F5AD2">
        <w:rPr>
          <w:rFonts w:eastAsiaTheme="minorEastAsia"/>
        </w:rPr>
        <w:t>»: создание современного свиноводческого комплекса на 2700 голов свиноматок, создание современной откормочной площадки на 33-35 тыс. голов свиней. В 2022 году по базовому варианту на уровне 4334,28 тонн, по целевому варианту – 4799,06 тонн, в 2023 году по базовому варианту на уровне 12340,77 тонн, по целевому варианту – 20779,43 тонн.</w:t>
      </w:r>
    </w:p>
    <w:p w:rsidR="004E645E" w:rsidRPr="006F5AD2" w:rsidRDefault="004E645E" w:rsidP="006F5AD2">
      <w:pPr>
        <w:pStyle w:val="a7"/>
        <w:spacing w:after="0"/>
        <w:ind w:left="0" w:firstLine="709"/>
        <w:jc w:val="both"/>
        <w:rPr>
          <w:rFonts w:eastAsiaTheme="minorEastAsia"/>
        </w:rPr>
      </w:pPr>
      <w:proofErr w:type="gramStart"/>
      <w:r w:rsidRPr="006F5AD2">
        <w:rPr>
          <w:rFonts w:eastAsiaTheme="minorEastAsia"/>
        </w:rPr>
        <w:t>В 2023 году запланирован высокий рост объемов производства (реализация) скота и птицы на убой в живом весе в связи с реализацией двух инвестиционных проектов ГК «</w:t>
      </w:r>
      <w:proofErr w:type="spellStart"/>
      <w:r w:rsidRPr="006F5AD2">
        <w:rPr>
          <w:rFonts w:eastAsiaTheme="minorEastAsia"/>
        </w:rPr>
        <w:t>Таврос</w:t>
      </w:r>
      <w:proofErr w:type="spellEnd"/>
      <w:r w:rsidRPr="006F5AD2">
        <w:rPr>
          <w:rFonts w:eastAsiaTheme="minorEastAsia"/>
        </w:rPr>
        <w:t>»: создание современного свиноводческого комплекса на 2700 голов свиноматок, создание современной откормочной площадки на 33-35 тыс. голов свиней: по базовому варианту на уровне 11750,46 тонн, по целевому варианту – 19989,68 тонн.</w:t>
      </w:r>
      <w:proofErr w:type="gramEnd"/>
    </w:p>
    <w:p w:rsidR="004E645E" w:rsidRPr="006F5AD2" w:rsidRDefault="004E645E" w:rsidP="006F5AD2">
      <w:pPr>
        <w:pStyle w:val="a7"/>
        <w:spacing w:after="0"/>
        <w:ind w:left="0" w:firstLine="709"/>
        <w:jc w:val="both"/>
        <w:rPr>
          <w:rFonts w:eastAsiaTheme="minorEastAsia"/>
        </w:rPr>
      </w:pPr>
    </w:p>
    <w:p w:rsidR="004E645E" w:rsidRPr="006F5AD2" w:rsidRDefault="004E645E" w:rsidP="006F5AD2">
      <w:pPr>
        <w:pStyle w:val="a7"/>
        <w:spacing w:after="0"/>
        <w:ind w:left="0" w:firstLine="709"/>
        <w:jc w:val="both"/>
        <w:rPr>
          <w:rFonts w:eastAsiaTheme="minorEastAsia"/>
        </w:rPr>
      </w:pPr>
      <w:r w:rsidRPr="006F5AD2">
        <w:rPr>
          <w:rFonts w:eastAsiaTheme="minorEastAsia"/>
        </w:rPr>
        <w:t>В 2022 г. запланирован высокий рост объема производства молока в связи с реализацией инвестиционного проекта ООО «Северная Нива Башкирия» – «Молочный комплекс на 3300 голов в д</w:t>
      </w:r>
      <w:proofErr w:type="gramStart"/>
      <w:r w:rsidRPr="006F5AD2">
        <w:rPr>
          <w:rFonts w:eastAsiaTheme="minorEastAsia"/>
        </w:rPr>
        <w:t>.Р</w:t>
      </w:r>
      <w:proofErr w:type="gramEnd"/>
      <w:r w:rsidRPr="006F5AD2">
        <w:rPr>
          <w:rFonts w:eastAsiaTheme="minorEastAsia"/>
        </w:rPr>
        <w:t xml:space="preserve">усская Швейцария </w:t>
      </w:r>
      <w:proofErr w:type="spellStart"/>
      <w:r w:rsidRPr="006F5AD2">
        <w:rPr>
          <w:rFonts w:eastAsiaTheme="minorEastAsia"/>
        </w:rPr>
        <w:t>Максим-Горьковского</w:t>
      </w:r>
      <w:proofErr w:type="spellEnd"/>
      <w:r w:rsidRPr="006F5AD2">
        <w:rPr>
          <w:rFonts w:eastAsiaTheme="minorEastAsia"/>
        </w:rPr>
        <w:t xml:space="preserve"> сельсовета» с объемом валового </w:t>
      </w:r>
      <w:r w:rsidRPr="006F5AD2">
        <w:rPr>
          <w:rFonts w:eastAsiaTheme="minorEastAsia"/>
        </w:rPr>
        <w:lastRenderedPageBreak/>
        <w:t>производства молока 26700 тонн, в 2022 году по базовому варианту на уровне 35168,13 тонн, по целевому варианту – 48948,03 тонн.</w:t>
      </w:r>
    </w:p>
    <w:p w:rsidR="004E645E" w:rsidRPr="006F5AD2" w:rsidRDefault="004E645E" w:rsidP="006F5AD2">
      <w:pPr>
        <w:pStyle w:val="a7"/>
        <w:spacing w:after="0"/>
        <w:ind w:left="0" w:firstLine="709"/>
        <w:jc w:val="both"/>
        <w:rPr>
          <w:rFonts w:eastAsiaTheme="minorEastAsia"/>
        </w:rPr>
      </w:pPr>
      <w:r w:rsidRPr="006F5AD2">
        <w:rPr>
          <w:rFonts w:eastAsiaTheme="minorEastAsia"/>
        </w:rPr>
        <w:t>В отрасли животноводства факторами увеличения производства будут: реализация крупных инвестиционных проектов компаниями «</w:t>
      </w:r>
      <w:proofErr w:type="spellStart"/>
      <w:r w:rsidRPr="006F5AD2">
        <w:rPr>
          <w:rFonts w:eastAsiaTheme="minorEastAsia"/>
        </w:rPr>
        <w:t>Эконива</w:t>
      </w:r>
      <w:proofErr w:type="spellEnd"/>
      <w:r w:rsidRPr="006F5AD2">
        <w:rPr>
          <w:rFonts w:eastAsiaTheme="minorEastAsia"/>
        </w:rPr>
        <w:t xml:space="preserve"> АПК Холдинг» и ГК «</w:t>
      </w:r>
      <w:proofErr w:type="spellStart"/>
      <w:r w:rsidRPr="006F5AD2">
        <w:rPr>
          <w:rFonts w:eastAsiaTheme="minorEastAsia"/>
        </w:rPr>
        <w:t>Таврос</w:t>
      </w:r>
      <w:proofErr w:type="spellEnd"/>
      <w:r w:rsidRPr="006F5AD2">
        <w:rPr>
          <w:rFonts w:eastAsiaTheme="minorEastAsia"/>
        </w:rPr>
        <w:t>», развитие семейных животноводческих ферм на базе крестьянских (фермерских) хозяйств, рост продуктивности сельскохозяйственных животных и наращивание поголовья скота и птицы.</w:t>
      </w:r>
    </w:p>
    <w:p w:rsidR="00315CE3" w:rsidRPr="00E0032C" w:rsidRDefault="00315CE3" w:rsidP="00ED0538">
      <w:pPr>
        <w:pStyle w:val="a4"/>
        <w:ind w:firstLine="709"/>
        <w:jc w:val="center"/>
        <w:rPr>
          <w:color w:val="FF0000"/>
          <w:sz w:val="24"/>
        </w:rPr>
      </w:pPr>
    </w:p>
    <w:p w:rsidR="003E6F0C" w:rsidRPr="00264456" w:rsidRDefault="002E4F5D" w:rsidP="00ED0538">
      <w:pPr>
        <w:pStyle w:val="a4"/>
        <w:ind w:firstLine="709"/>
        <w:jc w:val="center"/>
        <w:rPr>
          <w:sz w:val="24"/>
        </w:rPr>
      </w:pPr>
      <w:r w:rsidRPr="00264456">
        <w:rPr>
          <w:sz w:val="24"/>
        </w:rPr>
        <w:t>Жилищное с</w:t>
      </w:r>
      <w:r w:rsidR="00FC6D84" w:rsidRPr="00264456">
        <w:rPr>
          <w:sz w:val="24"/>
        </w:rPr>
        <w:t>т</w:t>
      </w:r>
      <w:r w:rsidRPr="00264456">
        <w:rPr>
          <w:sz w:val="24"/>
        </w:rPr>
        <w:t>роительство</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Одним из приоритетов социально-экономического развития района Республики Башкортостан является повышение качества жизни населения, увеличение объемов строительства жилья, вследствие чего увеличение обеспеченности населения жилыми помещениями, стимулирование развития жилищного строительства, развитие инженерной инфраструктуры.</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В районе в последние годы сохраняется тенденция ежегодного роста объёмов вводимого в эксплуатацию жилья. </w:t>
      </w:r>
    </w:p>
    <w:p w:rsidR="00861654" w:rsidRPr="00264456" w:rsidRDefault="00861654" w:rsidP="00ED0538">
      <w:pPr>
        <w:pStyle w:val="CharChar"/>
        <w:ind w:right="-158" w:firstLine="709"/>
        <w:jc w:val="both"/>
        <w:rPr>
          <w:sz w:val="24"/>
          <w:szCs w:val="24"/>
          <w:lang w:val="ru-RU" w:eastAsia="ru-RU"/>
        </w:rPr>
      </w:pPr>
      <w:proofErr w:type="gramStart"/>
      <w:r w:rsidRPr="00264456">
        <w:rPr>
          <w:sz w:val="24"/>
          <w:szCs w:val="24"/>
          <w:lang w:val="ru-RU" w:eastAsia="ru-RU"/>
        </w:rPr>
        <w:t>По итогам 2019 года введено в эксплуатацию 54,490 тыс. кв.м. жилья (в том числе ИЖС – 40,231 тыс. кв.м. жилья), что составило 103,8 % к уровню 2018 года (52,470 тыс. кв.м. жилья).</w:t>
      </w:r>
      <w:proofErr w:type="gramEnd"/>
      <w:r w:rsidRPr="00264456">
        <w:rPr>
          <w:sz w:val="24"/>
          <w:szCs w:val="24"/>
          <w:lang w:val="ru-RU" w:eastAsia="ru-RU"/>
        </w:rPr>
        <w:t xml:space="preserve"> В 2020 году прогноз вода жилья составляет </w:t>
      </w:r>
      <w:r w:rsidR="00264456" w:rsidRPr="00264456">
        <w:rPr>
          <w:sz w:val="24"/>
          <w:szCs w:val="24"/>
          <w:lang w:val="ru-RU" w:eastAsia="ru-RU"/>
        </w:rPr>
        <w:t>54,8</w:t>
      </w:r>
      <w:r w:rsidRPr="00264456">
        <w:rPr>
          <w:sz w:val="24"/>
          <w:szCs w:val="24"/>
          <w:lang w:val="ru-RU" w:eastAsia="ru-RU"/>
        </w:rPr>
        <w:t xml:space="preserve"> тыс. кв.м., что на </w:t>
      </w:r>
      <w:r w:rsidR="00264456" w:rsidRPr="00264456">
        <w:rPr>
          <w:sz w:val="24"/>
          <w:szCs w:val="24"/>
          <w:lang w:val="ru-RU" w:eastAsia="ru-RU"/>
        </w:rPr>
        <w:t>0,57</w:t>
      </w:r>
      <w:r w:rsidRPr="00264456">
        <w:rPr>
          <w:sz w:val="24"/>
          <w:szCs w:val="24"/>
          <w:lang w:val="ru-RU" w:eastAsia="ru-RU"/>
        </w:rPr>
        <w:t xml:space="preserve"> % выше уровня 2019 года. </w:t>
      </w:r>
    </w:p>
    <w:p w:rsidR="00861654" w:rsidRPr="00264456" w:rsidRDefault="00861654" w:rsidP="00ED0538">
      <w:pPr>
        <w:pStyle w:val="CharChar"/>
        <w:ind w:right="-158" w:firstLine="709"/>
        <w:jc w:val="both"/>
        <w:rPr>
          <w:sz w:val="24"/>
          <w:szCs w:val="24"/>
          <w:lang w:val="ru-RU" w:eastAsia="ru-RU"/>
        </w:rPr>
      </w:pPr>
      <w:proofErr w:type="gramStart"/>
      <w:r w:rsidRPr="00264456">
        <w:rPr>
          <w:sz w:val="24"/>
          <w:szCs w:val="24"/>
          <w:lang w:val="ru-RU" w:eastAsia="ru-RU"/>
        </w:rPr>
        <w:t xml:space="preserve">В 2019 году введено в эксплуатацию 3 многоквартирных жилых дома, в том числе два многоквартирных жилых дома в квартале «Парковый», ул. В.Н. </w:t>
      </w:r>
      <w:proofErr w:type="spellStart"/>
      <w:r w:rsidRPr="00264456">
        <w:rPr>
          <w:sz w:val="24"/>
          <w:szCs w:val="24"/>
          <w:lang w:val="ru-RU" w:eastAsia="ru-RU"/>
        </w:rPr>
        <w:t>Травницкого</w:t>
      </w:r>
      <w:proofErr w:type="spellEnd"/>
      <w:r w:rsidRPr="00264456">
        <w:rPr>
          <w:sz w:val="24"/>
          <w:szCs w:val="24"/>
          <w:lang w:val="ru-RU" w:eastAsia="ru-RU"/>
        </w:rPr>
        <w:t>, д.6/1 в г. Белебей; 73-квартирный жилой дом по ул. им. Морозова, д.7 Д в г. Белебей; 95-квартирный жилой дом по ул. Революционеров, д. 42 в г. Белебей.</w:t>
      </w:r>
      <w:proofErr w:type="gramEnd"/>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Для решения вопросов жилищного строительства в районе под многоэтажную застройку разработаны микрорайоны № 26 для размещения 5 многоквартирных жилых домов, квартал «Южный» микрорайона № 27 для размещения 3 многоквартирных домов, микрорайон № 29 для размещения 14 многоквартирных жилых домов.  </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Для размещения 16 многоквартирных домов в г. Белебее разработан проект </w:t>
      </w:r>
      <w:proofErr w:type="gramStart"/>
      <w:r w:rsidRPr="00264456">
        <w:rPr>
          <w:sz w:val="24"/>
          <w:szCs w:val="24"/>
          <w:lang w:val="ru-RU" w:eastAsia="ru-RU"/>
        </w:rPr>
        <w:t>планировки межевания территорий микрорайонов комплексной застройки</w:t>
      </w:r>
      <w:proofErr w:type="gramEnd"/>
      <w:r w:rsidRPr="00264456">
        <w:rPr>
          <w:sz w:val="24"/>
          <w:szCs w:val="24"/>
          <w:lang w:val="ru-RU" w:eastAsia="ru-RU"/>
        </w:rPr>
        <w:t xml:space="preserve"> по ул. Коммунистическая, 115, площадью 47,83 тыс.кв.м.</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В 2019 году выдано разрешение на строительство многоквартирного жилого дома по ул. </w:t>
      </w:r>
      <w:proofErr w:type="spellStart"/>
      <w:r w:rsidRPr="00264456">
        <w:rPr>
          <w:sz w:val="24"/>
          <w:szCs w:val="24"/>
          <w:lang w:val="ru-RU" w:eastAsia="ru-RU"/>
        </w:rPr>
        <w:t>В.Н.Травницкого</w:t>
      </w:r>
      <w:proofErr w:type="spellEnd"/>
      <w:r w:rsidRPr="00264456">
        <w:rPr>
          <w:sz w:val="24"/>
          <w:szCs w:val="24"/>
          <w:lang w:val="ru-RU" w:eastAsia="ru-RU"/>
        </w:rPr>
        <w:t xml:space="preserve"> в г. Белебей.</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В 2020 году планируется ввести в эксплуатацию:</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многоквартирный жилой дом по адресу: РБ, Белебеевский район, г</w:t>
      </w:r>
      <w:proofErr w:type="gramStart"/>
      <w:r w:rsidRPr="00264456">
        <w:rPr>
          <w:sz w:val="24"/>
          <w:szCs w:val="24"/>
          <w:lang w:val="ru-RU" w:eastAsia="ru-RU"/>
        </w:rPr>
        <w:t>.Б</w:t>
      </w:r>
      <w:proofErr w:type="gramEnd"/>
      <w:r w:rsidRPr="00264456">
        <w:rPr>
          <w:sz w:val="24"/>
          <w:szCs w:val="24"/>
          <w:lang w:val="ru-RU" w:eastAsia="ru-RU"/>
        </w:rPr>
        <w:t xml:space="preserve">елебей, квартал «Парковый», ул. В.Н. </w:t>
      </w:r>
      <w:proofErr w:type="spellStart"/>
      <w:r w:rsidRPr="00264456">
        <w:rPr>
          <w:sz w:val="24"/>
          <w:szCs w:val="24"/>
          <w:lang w:val="ru-RU" w:eastAsia="ru-RU"/>
        </w:rPr>
        <w:t>Травницкого</w:t>
      </w:r>
      <w:proofErr w:type="spellEnd"/>
      <w:r w:rsidRPr="00264456">
        <w:rPr>
          <w:sz w:val="24"/>
          <w:szCs w:val="24"/>
          <w:lang w:val="ru-RU" w:eastAsia="ru-RU"/>
        </w:rPr>
        <w:t>, д. 3,   (5 этажей, 80 квартир) – общая площадь 4504,0 кв.м.;</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многоквартирный жилой дом по адресу: РБ, Белебеевский район,                         г</w:t>
      </w:r>
      <w:proofErr w:type="gramStart"/>
      <w:r w:rsidRPr="00264456">
        <w:rPr>
          <w:sz w:val="24"/>
          <w:szCs w:val="24"/>
          <w:lang w:val="ru-RU" w:eastAsia="ru-RU"/>
        </w:rPr>
        <w:t>.Б</w:t>
      </w:r>
      <w:proofErr w:type="gramEnd"/>
      <w:r w:rsidRPr="00264456">
        <w:rPr>
          <w:sz w:val="24"/>
          <w:szCs w:val="24"/>
          <w:lang w:val="ru-RU" w:eastAsia="ru-RU"/>
        </w:rPr>
        <w:t xml:space="preserve">елебей, ул. В.Н. </w:t>
      </w:r>
      <w:proofErr w:type="spellStart"/>
      <w:r w:rsidRPr="00264456">
        <w:rPr>
          <w:sz w:val="24"/>
          <w:szCs w:val="24"/>
          <w:lang w:val="ru-RU" w:eastAsia="ru-RU"/>
        </w:rPr>
        <w:t>Травницкого</w:t>
      </w:r>
      <w:proofErr w:type="spellEnd"/>
      <w:r w:rsidRPr="00264456">
        <w:rPr>
          <w:sz w:val="24"/>
          <w:szCs w:val="24"/>
          <w:lang w:val="ru-RU" w:eastAsia="ru-RU"/>
        </w:rPr>
        <w:t>, д.5, блоки А,Б,В (5 этажей, 45 квартир) – общая площадь 2200,0 кв.м.;</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многоквартирный жилой дом по адресу: РБ, Белебеевский район, г</w:t>
      </w:r>
      <w:proofErr w:type="gramStart"/>
      <w:r w:rsidRPr="00264456">
        <w:rPr>
          <w:sz w:val="24"/>
          <w:szCs w:val="24"/>
          <w:lang w:val="ru-RU" w:eastAsia="ru-RU"/>
        </w:rPr>
        <w:t>.Б</w:t>
      </w:r>
      <w:proofErr w:type="gramEnd"/>
      <w:r w:rsidRPr="00264456">
        <w:rPr>
          <w:sz w:val="24"/>
          <w:szCs w:val="24"/>
          <w:lang w:val="ru-RU" w:eastAsia="ru-RU"/>
        </w:rPr>
        <w:t>елебей, ул. Революционеров, д. 1, блоки В, Г, Д (5 этажей, 88 квартир) – общая площадь 5273,89 кв.м.</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Малоэтажное жилищное строительство по-прежнему остаётся приоритетным направлением развития жилищной сферы. Наблюдается ежегодный рост доли ИЖС в общем объёме вводимого жилья: 2018 г. – 69,5%, 2018 г. - 73,8 %, в 2020 году доля ИЖС составит около 80 %. </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В рамках муниципальной целевой программы «Стимулирование развития жилищного строительства» в муниципальном районе Белебеевский район РБ разработана планировочная документация для развития микрорайона индивидуальной жилой застройки в р.п. Приютово, на площади 60,0 га. Сформировано 80 земельных участков в р.п. Приютово для предоставления однократно бесплатно для льготной категории граждан.</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Проведены комплексные кадастровые работы в населенных пунктах: д. Веселая Роща, д. Екатериновка, д. </w:t>
      </w:r>
      <w:proofErr w:type="spellStart"/>
      <w:r w:rsidRPr="00264456">
        <w:rPr>
          <w:sz w:val="24"/>
          <w:szCs w:val="24"/>
          <w:lang w:val="ru-RU" w:eastAsia="ru-RU"/>
        </w:rPr>
        <w:t>Ирек</w:t>
      </w:r>
      <w:proofErr w:type="spellEnd"/>
      <w:r w:rsidRPr="00264456">
        <w:rPr>
          <w:sz w:val="24"/>
          <w:szCs w:val="24"/>
          <w:lang w:val="ru-RU" w:eastAsia="ru-RU"/>
        </w:rPr>
        <w:t xml:space="preserve">, р.п. Приютово (1 квартал); в стадии завершения </w:t>
      </w:r>
      <w:proofErr w:type="spellStart"/>
      <w:r w:rsidRPr="00264456">
        <w:rPr>
          <w:sz w:val="24"/>
          <w:szCs w:val="24"/>
          <w:lang w:val="ru-RU" w:eastAsia="ru-RU"/>
        </w:rPr>
        <w:t>мкр</w:t>
      </w:r>
      <w:proofErr w:type="spellEnd"/>
      <w:r w:rsidRPr="00264456">
        <w:rPr>
          <w:sz w:val="24"/>
          <w:szCs w:val="24"/>
          <w:lang w:val="ru-RU" w:eastAsia="ru-RU"/>
        </w:rPr>
        <w:t xml:space="preserve">. </w:t>
      </w:r>
      <w:proofErr w:type="spellStart"/>
      <w:r w:rsidRPr="00264456">
        <w:rPr>
          <w:sz w:val="24"/>
          <w:szCs w:val="24"/>
          <w:lang w:val="ru-RU" w:eastAsia="ru-RU"/>
        </w:rPr>
        <w:t>Чайковка</w:t>
      </w:r>
      <w:proofErr w:type="spellEnd"/>
      <w:r w:rsidRPr="00264456">
        <w:rPr>
          <w:sz w:val="24"/>
          <w:szCs w:val="24"/>
          <w:lang w:val="ru-RU" w:eastAsia="ru-RU"/>
        </w:rPr>
        <w:t xml:space="preserve"> в г. Белебей, д. </w:t>
      </w:r>
      <w:proofErr w:type="spellStart"/>
      <w:r w:rsidRPr="00264456">
        <w:rPr>
          <w:sz w:val="24"/>
          <w:szCs w:val="24"/>
          <w:lang w:val="ru-RU" w:eastAsia="ru-RU"/>
        </w:rPr>
        <w:t>Тузлукуш</w:t>
      </w:r>
      <w:proofErr w:type="spellEnd"/>
      <w:r w:rsidRPr="00264456">
        <w:rPr>
          <w:sz w:val="24"/>
          <w:szCs w:val="24"/>
          <w:lang w:val="ru-RU" w:eastAsia="ru-RU"/>
        </w:rPr>
        <w:t xml:space="preserve">, д. </w:t>
      </w:r>
      <w:proofErr w:type="spellStart"/>
      <w:r w:rsidRPr="00264456">
        <w:rPr>
          <w:sz w:val="24"/>
          <w:szCs w:val="24"/>
          <w:lang w:val="ru-RU" w:eastAsia="ru-RU"/>
        </w:rPr>
        <w:t>Каин-Елга</w:t>
      </w:r>
      <w:proofErr w:type="spellEnd"/>
      <w:r w:rsidRPr="00264456">
        <w:rPr>
          <w:sz w:val="24"/>
          <w:szCs w:val="24"/>
          <w:lang w:val="ru-RU" w:eastAsia="ru-RU"/>
        </w:rPr>
        <w:t xml:space="preserve">, д. </w:t>
      </w:r>
      <w:proofErr w:type="spellStart"/>
      <w:r w:rsidRPr="00264456">
        <w:rPr>
          <w:sz w:val="24"/>
          <w:szCs w:val="24"/>
          <w:lang w:val="ru-RU" w:eastAsia="ru-RU"/>
        </w:rPr>
        <w:t>Куш-Елга</w:t>
      </w:r>
      <w:proofErr w:type="spellEnd"/>
      <w:r w:rsidRPr="00264456">
        <w:rPr>
          <w:sz w:val="24"/>
          <w:szCs w:val="24"/>
          <w:lang w:val="ru-RU" w:eastAsia="ru-RU"/>
        </w:rPr>
        <w:t xml:space="preserve">, д. Баженово, с. </w:t>
      </w:r>
      <w:proofErr w:type="spellStart"/>
      <w:r w:rsidRPr="00264456">
        <w:rPr>
          <w:sz w:val="24"/>
          <w:szCs w:val="24"/>
          <w:lang w:val="ru-RU" w:eastAsia="ru-RU"/>
        </w:rPr>
        <w:t>Слакбаш</w:t>
      </w:r>
      <w:proofErr w:type="spellEnd"/>
      <w:r w:rsidRPr="00264456">
        <w:rPr>
          <w:sz w:val="24"/>
          <w:szCs w:val="24"/>
          <w:lang w:val="ru-RU" w:eastAsia="ru-RU"/>
        </w:rPr>
        <w:t>.</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lastRenderedPageBreak/>
        <w:t>В целях развития индивидуального жилищного строительства на территории муниципального района Белебеевский район застраиваются микрорайоны «</w:t>
      </w:r>
      <w:proofErr w:type="spellStart"/>
      <w:r w:rsidRPr="00264456">
        <w:rPr>
          <w:sz w:val="24"/>
          <w:szCs w:val="24"/>
          <w:lang w:val="ru-RU" w:eastAsia="ru-RU"/>
        </w:rPr>
        <w:t>Чайковка</w:t>
      </w:r>
      <w:proofErr w:type="spellEnd"/>
      <w:r w:rsidRPr="00264456">
        <w:rPr>
          <w:sz w:val="24"/>
          <w:szCs w:val="24"/>
          <w:lang w:val="ru-RU" w:eastAsia="ru-RU"/>
        </w:rPr>
        <w:t>» площадью 237,0 га – 1140 участков, «Надежда (1 очередь) площадью 170,5 га – 615 участков в г. Белебее. Разработаны микрорайоны «Цветочный» - 98 участков и «Энергетик» - 83 участка на территории сельского поселения Аксаковский сельсовет муниципального района Белебеевский район.</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Для устойчивого роста жилищного строительства необходимо развитие сетей инженерного обеспечения микрорайонов многоэтажной и индивидуальной  жилой застройки.</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Для обеспечения водоснабжением микрорайонов многоэтажной жилой застройки № 26 и № 29 в г. Белебей выполнены изыскательские работы, подготовлена проектно-сметная документация по объекту: «Магистральный водопровод от станции 3 подъема «Нижняя зона» до точки подключения микрорайона №29 в г</w:t>
      </w:r>
      <w:proofErr w:type="gramStart"/>
      <w:r w:rsidRPr="00264456">
        <w:rPr>
          <w:sz w:val="24"/>
          <w:szCs w:val="24"/>
          <w:lang w:val="ru-RU" w:eastAsia="ru-RU"/>
        </w:rPr>
        <w:t>.Б</w:t>
      </w:r>
      <w:proofErr w:type="gramEnd"/>
      <w:r w:rsidRPr="00264456">
        <w:rPr>
          <w:sz w:val="24"/>
          <w:szCs w:val="24"/>
          <w:lang w:val="ru-RU" w:eastAsia="ru-RU"/>
        </w:rPr>
        <w:t>елебей муниципального района Белебеевский район Республики Башкортостан» и получено положительное заключение государственной экспертизы.  Общая стоимость строительства в ценах 2019 года составляет 6 263,97 тыс. рублей. Строительство объекта включено в РАИП на 2020 год.</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В микрорайоне </w:t>
      </w:r>
      <w:proofErr w:type="spellStart"/>
      <w:r w:rsidRPr="00264456">
        <w:rPr>
          <w:sz w:val="24"/>
          <w:szCs w:val="24"/>
          <w:lang w:val="ru-RU" w:eastAsia="ru-RU"/>
        </w:rPr>
        <w:t>среднеэтажной</w:t>
      </w:r>
      <w:proofErr w:type="spellEnd"/>
      <w:r w:rsidRPr="00264456">
        <w:rPr>
          <w:sz w:val="24"/>
          <w:szCs w:val="24"/>
          <w:lang w:val="ru-RU" w:eastAsia="ru-RU"/>
        </w:rPr>
        <w:t xml:space="preserve"> жилой застройки по ул. Коммунистическая, 115 в г</w:t>
      </w:r>
      <w:proofErr w:type="gramStart"/>
      <w:r w:rsidRPr="00264456">
        <w:rPr>
          <w:sz w:val="24"/>
          <w:szCs w:val="24"/>
          <w:lang w:val="ru-RU" w:eastAsia="ru-RU"/>
        </w:rPr>
        <w:t>.Б</w:t>
      </w:r>
      <w:proofErr w:type="gramEnd"/>
      <w:r w:rsidRPr="00264456">
        <w:rPr>
          <w:sz w:val="24"/>
          <w:szCs w:val="24"/>
          <w:lang w:val="ru-RU" w:eastAsia="ru-RU"/>
        </w:rPr>
        <w:t>елебей отсутствуют сети водоотведения. Ориентировочные затраты на строительно-монтажные работы 40,0 млн. руб. Заявка на проектирование сетей водоотведения направлена в Республик</w:t>
      </w:r>
      <w:r w:rsidR="00B745DC">
        <w:rPr>
          <w:sz w:val="24"/>
          <w:szCs w:val="24"/>
          <w:lang w:val="ru-RU" w:eastAsia="ru-RU"/>
        </w:rPr>
        <w:t xml:space="preserve">анскую адресную инвестиционную </w:t>
      </w:r>
      <w:r w:rsidRPr="00264456">
        <w:rPr>
          <w:sz w:val="24"/>
          <w:szCs w:val="24"/>
          <w:lang w:val="ru-RU" w:eastAsia="ru-RU"/>
        </w:rPr>
        <w:t>программу на 2020- 2023 годы.</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Для обеспечения микрорайонов индивидуальной застройки питьевой водой по объекту: «Комплекс сооружений водозабора для водоснабжения г</w:t>
      </w:r>
      <w:proofErr w:type="gramStart"/>
      <w:r w:rsidRPr="00264456">
        <w:rPr>
          <w:sz w:val="24"/>
          <w:szCs w:val="24"/>
          <w:lang w:val="ru-RU" w:eastAsia="ru-RU"/>
        </w:rPr>
        <w:t>.Б</w:t>
      </w:r>
      <w:proofErr w:type="gramEnd"/>
      <w:r w:rsidRPr="00264456">
        <w:rPr>
          <w:sz w:val="24"/>
          <w:szCs w:val="24"/>
          <w:lang w:val="ru-RU" w:eastAsia="ru-RU"/>
        </w:rPr>
        <w:t>елебея на базе источника хвостовой части Комсомольского пруда ("</w:t>
      </w:r>
      <w:proofErr w:type="spellStart"/>
      <w:r w:rsidRPr="00264456">
        <w:rPr>
          <w:sz w:val="24"/>
          <w:szCs w:val="24"/>
          <w:lang w:val="ru-RU" w:eastAsia="ru-RU"/>
        </w:rPr>
        <w:t>Усень</w:t>
      </w:r>
      <w:proofErr w:type="spellEnd"/>
      <w:r w:rsidRPr="00264456">
        <w:rPr>
          <w:sz w:val="24"/>
          <w:szCs w:val="24"/>
          <w:lang w:val="ru-RU" w:eastAsia="ru-RU"/>
        </w:rPr>
        <w:t>")» выполнено строительство I этапа (2013-2016гг.) и II этапа (2017-2019гг.) на сумму 213,35 млн.рублей. Для завершения реализации объекта необходимо определить финансирование III этапа по строительству водозабора «Усень-5» производительностью  8,0 тыс. куб. м/сутки, водовода от водозабора «Уснь-5» до насосной станции II подъема протяженностью 4,1 км, автоматизированной системы управления объектов водоснабжения «Усень-1,2,3,5» и насосной станции II подъема на сумму 260,0 млн. рублей. Заявка о включении в РАИП направлена в МЖКХ РБ.</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 xml:space="preserve">Также запланировано продолжение строительства объекта «Реконструкция водоснабжения с. Аксаково Белебеевского района РБ» включенного в РАИП на 2018 год и плановый период 2019 и 2020 годов. МЖКХ РБ заключен государственный контракт на сумму 114,1 млн. рублей с подрядной организацией ООО «Новая техника». В 2018- 2019 годах освоено 45,9 млн. рублей, для завершения работ необходимо 68,2 млн. рублей. </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Получено положительное заключение ГАУ Управление государственной экспертизы РБ по объекту: «Водоснабжение микрорайона индивидуальной застройки «Северный –1», «Северный – 2» в ГП г</w:t>
      </w:r>
      <w:proofErr w:type="gramStart"/>
      <w:r w:rsidRPr="00264456">
        <w:rPr>
          <w:sz w:val="24"/>
          <w:szCs w:val="24"/>
          <w:lang w:val="ru-RU" w:eastAsia="ru-RU"/>
        </w:rPr>
        <w:t>.Б</w:t>
      </w:r>
      <w:proofErr w:type="gramEnd"/>
      <w:r w:rsidRPr="00264456">
        <w:rPr>
          <w:sz w:val="24"/>
          <w:szCs w:val="24"/>
          <w:lang w:val="ru-RU" w:eastAsia="ru-RU"/>
        </w:rPr>
        <w:t>елебей МР Белебеевский район РБ»,  «Строительство водовода по ул. Дружба, ул. Новая, ул. 60 лет СССР  в ГП г. Белебей». Заявки о включении в РАИП направлены в Госстрой РБ.</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В 2020 году заключены муниципальные контракты с ООО ПКП «ВАТАН плюс» на выполнение комплекса проектно – изыскательских работ на строительство распределительной газовой сети газоснабжения ул. Дорожная в д</w:t>
      </w:r>
      <w:proofErr w:type="gramStart"/>
      <w:r w:rsidRPr="00264456">
        <w:rPr>
          <w:sz w:val="24"/>
          <w:szCs w:val="24"/>
          <w:lang w:val="ru-RU" w:eastAsia="ru-RU"/>
        </w:rPr>
        <w:t>.В</w:t>
      </w:r>
      <w:proofErr w:type="gramEnd"/>
      <w:r w:rsidRPr="00264456">
        <w:rPr>
          <w:sz w:val="24"/>
          <w:szCs w:val="24"/>
          <w:lang w:val="ru-RU" w:eastAsia="ru-RU"/>
        </w:rPr>
        <w:t xml:space="preserve">еселая Роща сельского поселения Малиновский сельсовет на сумму 586,8 тыс.рублей и распределительной газовой сети газоснабжения ул.Лесная в д.Новониколаевка сельского поселения </w:t>
      </w:r>
      <w:proofErr w:type="spellStart"/>
      <w:r w:rsidRPr="00264456">
        <w:rPr>
          <w:sz w:val="24"/>
          <w:szCs w:val="24"/>
          <w:lang w:val="ru-RU" w:eastAsia="ru-RU"/>
        </w:rPr>
        <w:t>Баженовский</w:t>
      </w:r>
      <w:proofErr w:type="spellEnd"/>
      <w:r w:rsidRPr="00264456">
        <w:rPr>
          <w:sz w:val="24"/>
          <w:szCs w:val="24"/>
          <w:lang w:val="ru-RU" w:eastAsia="ru-RU"/>
        </w:rPr>
        <w:t xml:space="preserve"> сельсовет на сумму 585,1 тыс.рублей.</w:t>
      </w:r>
    </w:p>
    <w:p w:rsidR="00861654" w:rsidRPr="00264456" w:rsidRDefault="00861654" w:rsidP="00ED0538">
      <w:pPr>
        <w:pStyle w:val="CharChar"/>
        <w:ind w:right="-158" w:firstLine="709"/>
        <w:jc w:val="both"/>
        <w:rPr>
          <w:sz w:val="24"/>
          <w:szCs w:val="24"/>
          <w:lang w:val="ru-RU" w:eastAsia="ru-RU"/>
        </w:rPr>
      </w:pPr>
      <w:r w:rsidRPr="00264456">
        <w:rPr>
          <w:sz w:val="24"/>
          <w:szCs w:val="24"/>
          <w:lang w:val="ru-RU" w:eastAsia="ru-RU"/>
        </w:rPr>
        <w:t>В 2019 году  завершено строительство объекта: «Строительство детского сада на 150 мест по ул. Горохова г. Белебея» общей стоимостью строительства в текущих ценах 103,0 млн. рублей.</w:t>
      </w:r>
    </w:p>
    <w:p w:rsidR="00AA45FA" w:rsidRPr="007A117A" w:rsidRDefault="007A117A" w:rsidP="007A117A">
      <w:pPr>
        <w:pStyle w:val="CharChar"/>
        <w:ind w:right="-158" w:firstLine="709"/>
        <w:jc w:val="both"/>
        <w:rPr>
          <w:sz w:val="24"/>
          <w:szCs w:val="24"/>
          <w:lang w:val="ru-RU" w:eastAsia="ru-RU"/>
        </w:rPr>
      </w:pPr>
      <w:r w:rsidRPr="007A117A">
        <w:rPr>
          <w:sz w:val="24"/>
          <w:szCs w:val="24"/>
          <w:lang w:val="ru-RU" w:eastAsia="ru-RU"/>
        </w:rPr>
        <w:t>К</w:t>
      </w:r>
      <w:r w:rsidR="00861654" w:rsidRPr="007A117A">
        <w:rPr>
          <w:sz w:val="24"/>
          <w:szCs w:val="24"/>
          <w:lang w:val="ru-RU" w:eastAsia="ru-RU"/>
        </w:rPr>
        <w:t xml:space="preserve"> 202</w:t>
      </w:r>
      <w:r w:rsidR="00264456" w:rsidRPr="007A117A">
        <w:rPr>
          <w:sz w:val="24"/>
          <w:szCs w:val="24"/>
          <w:lang w:val="ru-RU" w:eastAsia="ru-RU"/>
        </w:rPr>
        <w:t>3</w:t>
      </w:r>
      <w:r w:rsidR="00861654" w:rsidRPr="007A117A">
        <w:rPr>
          <w:sz w:val="24"/>
          <w:szCs w:val="24"/>
          <w:lang w:val="ru-RU" w:eastAsia="ru-RU"/>
        </w:rPr>
        <w:t xml:space="preserve"> году планируется увеличение ежегодного ввода жилья по сравнению с 2019 годом в 1,</w:t>
      </w:r>
      <w:r w:rsidR="00264456" w:rsidRPr="007A117A">
        <w:rPr>
          <w:sz w:val="24"/>
          <w:szCs w:val="24"/>
          <w:lang w:val="ru-RU" w:eastAsia="ru-RU"/>
        </w:rPr>
        <w:t>38</w:t>
      </w:r>
      <w:r w:rsidR="00861654" w:rsidRPr="007A117A">
        <w:rPr>
          <w:sz w:val="24"/>
          <w:szCs w:val="24"/>
          <w:lang w:val="ru-RU" w:eastAsia="ru-RU"/>
        </w:rPr>
        <w:t xml:space="preserve"> раза (</w:t>
      </w:r>
      <w:r w:rsidR="00264456" w:rsidRPr="007A117A">
        <w:rPr>
          <w:sz w:val="24"/>
          <w:szCs w:val="24"/>
          <w:lang w:val="ru-RU" w:eastAsia="ru-RU"/>
        </w:rPr>
        <w:t>75,393</w:t>
      </w:r>
      <w:r w:rsidR="00861654" w:rsidRPr="007A117A">
        <w:rPr>
          <w:sz w:val="24"/>
          <w:szCs w:val="24"/>
          <w:lang w:val="ru-RU" w:eastAsia="ru-RU"/>
        </w:rPr>
        <w:t xml:space="preserve"> тыс. кв. м в год). При этом общая площадь жилых помещений, приходящаяся на 1 жителя</w:t>
      </w:r>
      <w:r w:rsidR="009A667F" w:rsidRPr="007A117A">
        <w:rPr>
          <w:sz w:val="24"/>
          <w:szCs w:val="24"/>
          <w:lang w:val="ru-RU" w:eastAsia="ru-RU"/>
        </w:rPr>
        <w:t>,</w:t>
      </w:r>
      <w:r w:rsidR="00861654" w:rsidRPr="007A117A">
        <w:rPr>
          <w:sz w:val="24"/>
          <w:szCs w:val="24"/>
          <w:lang w:val="ru-RU" w:eastAsia="ru-RU"/>
        </w:rPr>
        <w:t xml:space="preserve"> с учётом демографических показателей </w:t>
      </w:r>
      <w:proofErr w:type="gramStart"/>
      <w:r w:rsidR="00861654" w:rsidRPr="007A117A">
        <w:rPr>
          <w:sz w:val="24"/>
          <w:szCs w:val="24"/>
          <w:lang w:val="ru-RU" w:eastAsia="ru-RU"/>
        </w:rPr>
        <w:t xml:space="preserve">вырастит на </w:t>
      </w:r>
      <w:r w:rsidR="00264456" w:rsidRPr="007A117A">
        <w:rPr>
          <w:sz w:val="24"/>
          <w:szCs w:val="24"/>
          <w:lang w:val="ru-RU" w:eastAsia="ru-RU"/>
        </w:rPr>
        <w:t>3,95</w:t>
      </w:r>
      <w:r w:rsidR="00861654" w:rsidRPr="007A117A">
        <w:rPr>
          <w:sz w:val="24"/>
          <w:szCs w:val="24"/>
          <w:lang w:val="ru-RU" w:eastAsia="ru-RU"/>
        </w:rPr>
        <w:t xml:space="preserve"> % и составит</w:t>
      </w:r>
      <w:proofErr w:type="gramEnd"/>
      <w:r w:rsidR="00861654" w:rsidRPr="007A117A">
        <w:rPr>
          <w:sz w:val="24"/>
          <w:szCs w:val="24"/>
          <w:lang w:val="ru-RU" w:eastAsia="ru-RU"/>
        </w:rPr>
        <w:t xml:space="preserve"> к концу 202</w:t>
      </w:r>
      <w:r w:rsidR="00264456" w:rsidRPr="007A117A">
        <w:rPr>
          <w:sz w:val="24"/>
          <w:szCs w:val="24"/>
          <w:lang w:val="ru-RU" w:eastAsia="ru-RU"/>
        </w:rPr>
        <w:t>3</w:t>
      </w:r>
      <w:r w:rsidR="00861654" w:rsidRPr="007A117A">
        <w:rPr>
          <w:sz w:val="24"/>
          <w:szCs w:val="24"/>
          <w:lang w:val="ru-RU" w:eastAsia="ru-RU"/>
        </w:rPr>
        <w:t xml:space="preserve"> года 2</w:t>
      </w:r>
      <w:r w:rsidR="00264456" w:rsidRPr="007A117A">
        <w:rPr>
          <w:sz w:val="24"/>
          <w:szCs w:val="24"/>
          <w:lang w:val="ru-RU" w:eastAsia="ru-RU"/>
        </w:rPr>
        <w:t>5,78</w:t>
      </w:r>
      <w:r w:rsidR="00861654" w:rsidRPr="007A117A">
        <w:rPr>
          <w:sz w:val="24"/>
          <w:szCs w:val="24"/>
          <w:lang w:val="ru-RU" w:eastAsia="ru-RU"/>
        </w:rPr>
        <w:t xml:space="preserve"> кв.м.</w:t>
      </w:r>
    </w:p>
    <w:p w:rsidR="007A117A" w:rsidRDefault="007A117A" w:rsidP="007A117A">
      <w:pPr>
        <w:pStyle w:val="CharChar"/>
        <w:ind w:right="-158" w:firstLine="709"/>
        <w:jc w:val="both"/>
        <w:rPr>
          <w:sz w:val="24"/>
          <w:lang w:val="ru-RU"/>
        </w:rPr>
      </w:pPr>
    </w:p>
    <w:p w:rsidR="00B03C17" w:rsidRPr="00B4307E" w:rsidRDefault="00B03C17" w:rsidP="007A117A">
      <w:pPr>
        <w:pStyle w:val="CharChar"/>
        <w:ind w:right="-158" w:firstLine="709"/>
        <w:jc w:val="both"/>
        <w:rPr>
          <w:sz w:val="24"/>
          <w:lang w:val="ru-RU"/>
        </w:rPr>
      </w:pPr>
    </w:p>
    <w:p w:rsidR="00315CE3" w:rsidRDefault="00315CE3" w:rsidP="00AA45FA">
      <w:pPr>
        <w:pStyle w:val="a4"/>
        <w:jc w:val="both"/>
        <w:rPr>
          <w:sz w:val="24"/>
        </w:rPr>
      </w:pPr>
      <w:r w:rsidRPr="007A117A">
        <w:rPr>
          <w:sz w:val="24"/>
        </w:rPr>
        <w:t xml:space="preserve">Зам. главы Администрации                                                             </w:t>
      </w:r>
      <w:r w:rsidR="00AA45FA" w:rsidRPr="007A117A">
        <w:rPr>
          <w:sz w:val="24"/>
        </w:rPr>
        <w:t xml:space="preserve">  </w:t>
      </w:r>
      <w:r w:rsidRPr="007A117A">
        <w:rPr>
          <w:sz w:val="24"/>
        </w:rPr>
        <w:t xml:space="preserve">                                Н.К. Гумеров</w:t>
      </w:r>
    </w:p>
    <w:p w:rsidR="00AE1728" w:rsidRDefault="00AE1728" w:rsidP="00AA45FA">
      <w:pPr>
        <w:pStyle w:val="a4"/>
        <w:jc w:val="both"/>
        <w:rPr>
          <w:sz w:val="24"/>
        </w:rPr>
        <w:sectPr w:rsidR="00AE1728" w:rsidSect="00AA45FA">
          <w:pgSz w:w="11906" w:h="16838"/>
          <w:pgMar w:top="1134" w:right="567" w:bottom="1134" w:left="1418" w:header="709" w:footer="709" w:gutter="0"/>
          <w:cols w:space="708"/>
          <w:docGrid w:linePitch="360"/>
        </w:sectPr>
      </w:pPr>
    </w:p>
    <w:p w:rsidR="00AE1728" w:rsidRPr="007D7D03" w:rsidRDefault="00AE1728" w:rsidP="00AE1728">
      <w:pPr>
        <w:pStyle w:val="a4"/>
        <w:ind w:firstLine="709"/>
        <w:jc w:val="center"/>
        <w:rPr>
          <w:szCs w:val="28"/>
        </w:rPr>
      </w:pPr>
      <w:r>
        <w:rPr>
          <w:sz w:val="24"/>
        </w:rPr>
        <w:lastRenderedPageBreak/>
        <w:t xml:space="preserve"> </w:t>
      </w:r>
      <w:r w:rsidRPr="00AE1728">
        <w:rPr>
          <w:szCs w:val="28"/>
        </w:rPr>
        <w:t xml:space="preserve">Основные показатели </w:t>
      </w:r>
      <w:proofErr w:type="gramStart"/>
      <w:r w:rsidRPr="007D7D03">
        <w:rPr>
          <w:szCs w:val="28"/>
        </w:rPr>
        <w:t>социа</w:t>
      </w:r>
      <w:proofErr w:type="gramEnd"/>
      <w:r w:rsidRPr="007D7D03">
        <w:rPr>
          <w:szCs w:val="28"/>
        </w:rPr>
        <w:t>ль</w:t>
      </w:r>
      <w:proofErr w:type="gramStart"/>
      <w:r w:rsidRPr="007D7D03">
        <w:rPr>
          <w:szCs w:val="28"/>
        </w:rPr>
        <w:t>но-экономического</w:t>
      </w:r>
      <w:proofErr w:type="gramEnd"/>
      <w:r w:rsidRPr="007D7D03">
        <w:rPr>
          <w:szCs w:val="28"/>
        </w:rPr>
        <w:t xml:space="preserve"> развития</w:t>
      </w:r>
    </w:p>
    <w:p w:rsidR="00AE1728" w:rsidRPr="007D7D03" w:rsidRDefault="00AE1728" w:rsidP="00AE1728">
      <w:pPr>
        <w:pStyle w:val="a4"/>
        <w:ind w:firstLine="709"/>
        <w:jc w:val="center"/>
        <w:rPr>
          <w:szCs w:val="28"/>
        </w:rPr>
      </w:pPr>
      <w:r w:rsidRPr="007D7D03">
        <w:rPr>
          <w:szCs w:val="28"/>
        </w:rPr>
        <w:t>муниципального района Белебеевский район Республики Башкортостан</w:t>
      </w:r>
    </w:p>
    <w:p w:rsidR="00AE1728" w:rsidRPr="007A117A" w:rsidRDefault="00AE1728" w:rsidP="00AA45FA">
      <w:pPr>
        <w:pStyle w:val="a4"/>
        <w:jc w:val="both"/>
        <w:rPr>
          <w:sz w:val="24"/>
        </w:rPr>
      </w:pPr>
    </w:p>
    <w:tbl>
      <w:tblPr>
        <w:tblW w:w="16005" w:type="dxa"/>
        <w:tblInd w:w="95" w:type="dxa"/>
        <w:tblLayout w:type="fixed"/>
        <w:tblLook w:val="04A0"/>
      </w:tblPr>
      <w:tblGrid>
        <w:gridCol w:w="553"/>
        <w:gridCol w:w="2579"/>
        <w:gridCol w:w="1120"/>
        <w:gridCol w:w="992"/>
        <w:gridCol w:w="993"/>
        <w:gridCol w:w="1044"/>
        <w:gridCol w:w="1082"/>
        <w:gridCol w:w="1250"/>
        <w:gridCol w:w="890"/>
        <w:gridCol w:w="980"/>
        <w:gridCol w:w="1250"/>
        <w:gridCol w:w="1030"/>
        <w:gridCol w:w="992"/>
        <w:gridCol w:w="1250"/>
      </w:tblGrid>
      <w:tr w:rsidR="00AE1728" w:rsidRPr="00AE1728" w:rsidTr="00AE1728">
        <w:trPr>
          <w:trHeight w:val="330"/>
        </w:trPr>
        <w:tc>
          <w:tcPr>
            <w:tcW w:w="553" w:type="dxa"/>
            <w:vMerge w:val="restart"/>
            <w:tcBorders>
              <w:top w:val="single" w:sz="4" w:space="0" w:color="C0C0C0"/>
              <w:left w:val="single" w:sz="4" w:space="0" w:color="C0C0C0"/>
              <w:bottom w:val="nil"/>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 xml:space="preserve">№ </w:t>
            </w:r>
            <w:proofErr w:type="spellStart"/>
            <w:proofErr w:type="gramStart"/>
            <w:r w:rsidRPr="00AE1728">
              <w:rPr>
                <w:rFonts w:ascii="Tahoma" w:eastAsia="Times New Roman" w:hAnsi="Tahoma" w:cs="Tahoma"/>
                <w:b/>
                <w:bCs/>
                <w:color w:val="FFFFFF"/>
                <w:sz w:val="12"/>
                <w:szCs w:val="12"/>
              </w:rPr>
              <w:t>п</w:t>
            </w:r>
            <w:proofErr w:type="spellEnd"/>
            <w:proofErr w:type="gramEnd"/>
            <w:r w:rsidRPr="00AE1728">
              <w:rPr>
                <w:rFonts w:ascii="Tahoma" w:eastAsia="Times New Roman" w:hAnsi="Tahoma" w:cs="Tahoma"/>
                <w:b/>
                <w:bCs/>
                <w:color w:val="FFFFFF"/>
                <w:sz w:val="12"/>
                <w:szCs w:val="12"/>
              </w:rPr>
              <w:t>/</w:t>
            </w:r>
            <w:proofErr w:type="spellStart"/>
            <w:r w:rsidRPr="00AE1728">
              <w:rPr>
                <w:rFonts w:ascii="Tahoma" w:eastAsia="Times New Roman" w:hAnsi="Tahoma" w:cs="Tahoma"/>
                <w:b/>
                <w:bCs/>
                <w:color w:val="FFFFFF"/>
                <w:sz w:val="12"/>
                <w:szCs w:val="12"/>
              </w:rPr>
              <w:t>п</w:t>
            </w:r>
            <w:proofErr w:type="spellEnd"/>
          </w:p>
        </w:tc>
        <w:tc>
          <w:tcPr>
            <w:tcW w:w="2579" w:type="dxa"/>
            <w:vMerge w:val="restart"/>
            <w:tcBorders>
              <w:top w:val="single" w:sz="4" w:space="0" w:color="C0C0C0"/>
              <w:left w:val="single" w:sz="4" w:space="0" w:color="C0C0C0"/>
              <w:bottom w:val="nil"/>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Показатели</w:t>
            </w:r>
          </w:p>
        </w:tc>
        <w:tc>
          <w:tcPr>
            <w:tcW w:w="1120" w:type="dxa"/>
            <w:vMerge w:val="restart"/>
            <w:tcBorders>
              <w:top w:val="single" w:sz="4" w:space="0" w:color="C0C0C0"/>
              <w:left w:val="single" w:sz="4" w:space="0" w:color="C0C0C0"/>
              <w:bottom w:val="nil"/>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Единица измерения</w:t>
            </w:r>
          </w:p>
        </w:tc>
        <w:tc>
          <w:tcPr>
            <w:tcW w:w="992" w:type="dxa"/>
            <w:vMerge w:val="restart"/>
            <w:tcBorders>
              <w:top w:val="nil"/>
              <w:left w:val="single" w:sz="4" w:space="0" w:color="C0C0C0"/>
              <w:bottom w:val="nil"/>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Отчет</w:t>
            </w:r>
          </w:p>
        </w:tc>
        <w:tc>
          <w:tcPr>
            <w:tcW w:w="993" w:type="dxa"/>
            <w:vMerge w:val="restart"/>
            <w:tcBorders>
              <w:top w:val="nil"/>
              <w:left w:val="single" w:sz="4" w:space="0" w:color="C0C0C0"/>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Оценка</w:t>
            </w:r>
          </w:p>
        </w:tc>
        <w:tc>
          <w:tcPr>
            <w:tcW w:w="9768" w:type="dxa"/>
            <w:gridSpan w:val="9"/>
            <w:tcBorders>
              <w:top w:val="nil"/>
              <w:left w:val="single" w:sz="4" w:space="0" w:color="C0C0C0"/>
              <w:bottom w:val="nil"/>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Прогноз</w:t>
            </w:r>
          </w:p>
        </w:tc>
      </w:tr>
      <w:tr w:rsidR="00AE1728" w:rsidRPr="00AE1728" w:rsidTr="00AE1728">
        <w:trPr>
          <w:trHeight w:val="330"/>
        </w:trPr>
        <w:tc>
          <w:tcPr>
            <w:tcW w:w="553"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2579"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1120"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992" w:type="dxa"/>
            <w:vMerge/>
            <w:tcBorders>
              <w:top w:val="nil"/>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993" w:type="dxa"/>
            <w:vMerge/>
            <w:tcBorders>
              <w:top w:val="nil"/>
              <w:left w:val="single" w:sz="4" w:space="0" w:color="C0C0C0"/>
              <w:bottom w:val="single" w:sz="4" w:space="0" w:color="C0C0C0"/>
              <w:right w:val="nil"/>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3376" w:type="dxa"/>
            <w:gridSpan w:val="3"/>
            <w:tcBorders>
              <w:top w:val="single" w:sz="4" w:space="0" w:color="C0C0C0"/>
              <w:left w:val="single" w:sz="4" w:space="0" w:color="C0C0C0"/>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2021</w:t>
            </w:r>
          </w:p>
        </w:tc>
        <w:tc>
          <w:tcPr>
            <w:tcW w:w="3120" w:type="dxa"/>
            <w:gridSpan w:val="3"/>
            <w:tcBorders>
              <w:top w:val="single" w:sz="4" w:space="0" w:color="C0C0C0"/>
              <w:left w:val="single" w:sz="4" w:space="0" w:color="C0C0C0"/>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2022</w:t>
            </w:r>
          </w:p>
        </w:tc>
        <w:tc>
          <w:tcPr>
            <w:tcW w:w="3272" w:type="dxa"/>
            <w:gridSpan w:val="3"/>
            <w:tcBorders>
              <w:top w:val="single" w:sz="4" w:space="0" w:color="C0C0C0"/>
              <w:left w:val="single" w:sz="4" w:space="0" w:color="C0C0C0"/>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2023</w:t>
            </w:r>
          </w:p>
        </w:tc>
      </w:tr>
      <w:tr w:rsidR="00AE1728" w:rsidRPr="00AE1728" w:rsidTr="00AE1728">
        <w:trPr>
          <w:trHeight w:val="765"/>
        </w:trPr>
        <w:tc>
          <w:tcPr>
            <w:tcW w:w="553"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2579"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1120" w:type="dxa"/>
            <w:vMerge/>
            <w:tcBorders>
              <w:top w:val="single" w:sz="4" w:space="0" w:color="C0C0C0"/>
              <w:left w:val="single" w:sz="4" w:space="0" w:color="C0C0C0"/>
              <w:bottom w:val="nil"/>
              <w:right w:val="single" w:sz="4" w:space="0" w:color="C0C0C0"/>
            </w:tcBorders>
            <w:vAlign w:val="center"/>
            <w:hideMark/>
          </w:tcPr>
          <w:p w:rsidR="00AE1728" w:rsidRPr="00AE1728" w:rsidRDefault="00AE1728" w:rsidP="00AE1728">
            <w:pPr>
              <w:spacing w:after="0" w:line="240" w:lineRule="auto"/>
              <w:rPr>
                <w:rFonts w:ascii="Tahoma" w:eastAsia="Times New Roman" w:hAnsi="Tahoma" w:cs="Tahoma"/>
                <w:b/>
                <w:bCs/>
                <w:color w:val="FFFFFF"/>
                <w:sz w:val="12"/>
                <w:szCs w:val="12"/>
              </w:rPr>
            </w:pPr>
          </w:p>
        </w:tc>
        <w:tc>
          <w:tcPr>
            <w:tcW w:w="992" w:type="dxa"/>
            <w:tcBorders>
              <w:top w:val="single" w:sz="4" w:space="0" w:color="C0C0C0"/>
              <w:left w:val="nil"/>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2019</w:t>
            </w:r>
          </w:p>
        </w:tc>
        <w:tc>
          <w:tcPr>
            <w:tcW w:w="993" w:type="dxa"/>
            <w:tcBorders>
              <w:top w:val="nil"/>
              <w:left w:val="single" w:sz="4" w:space="0" w:color="C0C0C0"/>
              <w:bottom w:val="single" w:sz="4" w:space="0" w:color="C0C0C0"/>
              <w:right w:val="nil"/>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2020</w:t>
            </w:r>
          </w:p>
        </w:tc>
        <w:tc>
          <w:tcPr>
            <w:tcW w:w="1044" w:type="dxa"/>
            <w:tcBorders>
              <w:top w:val="nil"/>
              <w:left w:val="single" w:sz="4" w:space="0" w:color="C0C0C0"/>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Консервативный - вариант</w:t>
            </w:r>
            <w:proofErr w:type="gramStart"/>
            <w:r w:rsidRPr="00AE1728">
              <w:rPr>
                <w:rFonts w:ascii="Tahoma" w:eastAsia="Times New Roman" w:hAnsi="Tahoma" w:cs="Tahoma"/>
                <w:b/>
                <w:bCs/>
                <w:color w:val="FFFFFF"/>
                <w:sz w:val="12"/>
                <w:szCs w:val="12"/>
              </w:rPr>
              <w:t>1</w:t>
            </w:r>
            <w:proofErr w:type="gramEnd"/>
          </w:p>
        </w:tc>
        <w:tc>
          <w:tcPr>
            <w:tcW w:w="1082"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Базовый - вариант</w:t>
            </w:r>
            <w:proofErr w:type="gramStart"/>
            <w:r w:rsidRPr="00AE1728">
              <w:rPr>
                <w:rFonts w:ascii="Tahoma" w:eastAsia="Times New Roman" w:hAnsi="Tahoma" w:cs="Tahoma"/>
                <w:b/>
                <w:bCs/>
                <w:color w:val="FFFFFF"/>
                <w:sz w:val="12"/>
                <w:szCs w:val="12"/>
              </w:rPr>
              <w:t>2</w:t>
            </w:r>
            <w:proofErr w:type="gramEnd"/>
          </w:p>
        </w:tc>
        <w:tc>
          <w:tcPr>
            <w:tcW w:w="125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Целевой - вариант3</w:t>
            </w:r>
          </w:p>
        </w:tc>
        <w:tc>
          <w:tcPr>
            <w:tcW w:w="89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Консервативный - вариант</w:t>
            </w:r>
            <w:proofErr w:type="gramStart"/>
            <w:r w:rsidRPr="00AE1728">
              <w:rPr>
                <w:rFonts w:ascii="Tahoma" w:eastAsia="Times New Roman" w:hAnsi="Tahoma" w:cs="Tahoma"/>
                <w:b/>
                <w:bCs/>
                <w:color w:val="FFFFFF"/>
                <w:sz w:val="12"/>
                <w:szCs w:val="12"/>
              </w:rPr>
              <w:t>1</w:t>
            </w:r>
            <w:proofErr w:type="gramEnd"/>
          </w:p>
        </w:tc>
        <w:tc>
          <w:tcPr>
            <w:tcW w:w="98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Базовый - вариант</w:t>
            </w:r>
            <w:proofErr w:type="gramStart"/>
            <w:r w:rsidRPr="00AE1728">
              <w:rPr>
                <w:rFonts w:ascii="Tahoma" w:eastAsia="Times New Roman" w:hAnsi="Tahoma" w:cs="Tahoma"/>
                <w:b/>
                <w:bCs/>
                <w:color w:val="FFFFFF"/>
                <w:sz w:val="12"/>
                <w:szCs w:val="12"/>
              </w:rPr>
              <w:t>2</w:t>
            </w:r>
            <w:proofErr w:type="gramEnd"/>
          </w:p>
        </w:tc>
        <w:tc>
          <w:tcPr>
            <w:tcW w:w="125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Целевой - вариант3</w:t>
            </w:r>
          </w:p>
        </w:tc>
        <w:tc>
          <w:tcPr>
            <w:tcW w:w="103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Консервативный - вариант</w:t>
            </w:r>
            <w:proofErr w:type="gramStart"/>
            <w:r w:rsidRPr="00AE1728">
              <w:rPr>
                <w:rFonts w:ascii="Tahoma" w:eastAsia="Times New Roman" w:hAnsi="Tahoma" w:cs="Tahoma"/>
                <w:b/>
                <w:bCs/>
                <w:color w:val="FFFFFF"/>
                <w:sz w:val="12"/>
                <w:szCs w:val="12"/>
              </w:rPr>
              <w:t>1</w:t>
            </w:r>
            <w:proofErr w:type="gramEnd"/>
          </w:p>
        </w:tc>
        <w:tc>
          <w:tcPr>
            <w:tcW w:w="992"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Базовый - вариант</w:t>
            </w:r>
            <w:proofErr w:type="gramStart"/>
            <w:r w:rsidRPr="00AE1728">
              <w:rPr>
                <w:rFonts w:ascii="Tahoma" w:eastAsia="Times New Roman" w:hAnsi="Tahoma" w:cs="Tahoma"/>
                <w:b/>
                <w:bCs/>
                <w:color w:val="FFFFFF"/>
                <w:sz w:val="12"/>
                <w:szCs w:val="12"/>
              </w:rPr>
              <w:t>2</w:t>
            </w:r>
            <w:proofErr w:type="gramEnd"/>
          </w:p>
        </w:tc>
        <w:tc>
          <w:tcPr>
            <w:tcW w:w="1250" w:type="dxa"/>
            <w:tcBorders>
              <w:top w:val="nil"/>
              <w:left w:val="nil"/>
              <w:bottom w:val="single" w:sz="4" w:space="0" w:color="C0C0C0"/>
              <w:right w:val="single" w:sz="4" w:space="0" w:color="C0C0C0"/>
            </w:tcBorders>
            <w:shd w:val="clear" w:color="000000" w:fill="889CCF"/>
            <w:vAlign w:val="center"/>
            <w:hideMark/>
          </w:tcPr>
          <w:p w:rsidR="00AE1728" w:rsidRPr="00AE1728" w:rsidRDefault="00AE1728" w:rsidP="00AE1728">
            <w:pPr>
              <w:spacing w:after="0" w:line="240" w:lineRule="auto"/>
              <w:jc w:val="center"/>
              <w:rPr>
                <w:rFonts w:ascii="Tahoma" w:eastAsia="Times New Roman" w:hAnsi="Tahoma" w:cs="Tahoma"/>
                <w:b/>
                <w:bCs/>
                <w:color w:val="FFFFFF"/>
                <w:sz w:val="12"/>
                <w:szCs w:val="12"/>
              </w:rPr>
            </w:pPr>
            <w:r w:rsidRPr="00AE1728">
              <w:rPr>
                <w:rFonts w:ascii="Tahoma" w:eastAsia="Times New Roman" w:hAnsi="Tahoma" w:cs="Tahoma"/>
                <w:b/>
                <w:bCs/>
                <w:color w:val="FFFFFF"/>
                <w:sz w:val="12"/>
                <w:szCs w:val="12"/>
              </w:rPr>
              <w:t>Целевой - вариант3</w:t>
            </w:r>
          </w:p>
        </w:tc>
      </w:tr>
      <w:tr w:rsidR="00AE1728" w:rsidRPr="00AE1728" w:rsidTr="00AE1728">
        <w:trPr>
          <w:trHeight w:val="1635"/>
        </w:trPr>
        <w:tc>
          <w:tcPr>
            <w:tcW w:w="553" w:type="dxa"/>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w:t>
            </w:r>
          </w:p>
        </w:tc>
        <w:tc>
          <w:tcPr>
            <w:tcW w:w="2579" w:type="dxa"/>
            <w:tcBorders>
              <w:top w:val="single" w:sz="4" w:space="0" w:color="C0C0C0"/>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(по полному кругу организаций)</w:t>
            </w:r>
          </w:p>
        </w:tc>
        <w:tc>
          <w:tcPr>
            <w:tcW w:w="1120" w:type="dxa"/>
            <w:tcBorders>
              <w:top w:val="single" w:sz="4" w:space="0" w:color="C0C0C0"/>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тыс.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21987501,000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22418588,000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23624111,000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23571624,000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23656063,000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25100285,000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24992034,000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25228190,000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26987526,000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27305424,000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28687429,000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93"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97,40</w:t>
            </w:r>
          </w:p>
        </w:tc>
        <w:tc>
          <w:tcPr>
            <w:tcW w:w="1044"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100,10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100,70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101,30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102,20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102,60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104,60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109,10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сопоставимых ценах</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тыс</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21987501,000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21408534,000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21408237,000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21495434,000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21619209,000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21630010,000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21802628,000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22093346,000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22186720,000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22798165,000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24114282,000</w:t>
            </w:r>
          </w:p>
        </w:tc>
      </w:tr>
      <w:tr w:rsidR="00AE1728" w:rsidRPr="00AE1728" w:rsidTr="00AE1728">
        <w:trPr>
          <w:trHeight w:val="163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1.1.</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(по крупным и средним организациям)</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тыс. руб.</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20358798,000</w:t>
            </w:r>
          </w:p>
        </w:tc>
        <w:tc>
          <w:tcPr>
            <w:tcW w:w="993" w:type="dxa"/>
            <w:tcBorders>
              <w:top w:val="nil"/>
              <w:left w:val="single" w:sz="4" w:space="0" w:color="C0C0C0"/>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20804934,000</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21906867,000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21890693,000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21968697,000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23261393,000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23200582,000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23432402,000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26242689,000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26207043,000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27263847,000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92,200</w:t>
            </w:r>
          </w:p>
        </w:tc>
        <w:tc>
          <w:tcPr>
            <w:tcW w:w="993" w:type="dxa"/>
            <w:tcBorders>
              <w:top w:val="nil"/>
              <w:left w:val="single" w:sz="4" w:space="0" w:color="C0C0C0"/>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97,600</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100,100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100,900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101,400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101,000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101,400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102,200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107,900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108,300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111,700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сопоставимых ценах</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тыс</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20358798,000</w:t>
            </w:r>
          </w:p>
        </w:tc>
        <w:tc>
          <w:tcPr>
            <w:tcW w:w="993" w:type="dxa"/>
            <w:tcBorders>
              <w:top w:val="nil"/>
              <w:left w:val="single" w:sz="4" w:space="0" w:color="C0C0C0"/>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19877553,000</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19894217,000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20047024,000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20162196,000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20099060,000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20332491,000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20614200,000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21687770,000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22013495,000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23017369,000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2</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Оборот розничной торговли (во всех каналах реализации)</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12892,240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12680,530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13516,130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13729,740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13966,310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14322,150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14678,890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15073,970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15235,870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15702,650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16189,720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xml:space="preserve">сопоставимых </w:t>
            </w:r>
            <w:proofErr w:type="gramStart"/>
            <w:r w:rsidRPr="00AE1728">
              <w:rPr>
                <w:rFonts w:ascii="Tahoma" w:eastAsia="Times New Roman" w:hAnsi="Tahoma" w:cs="Tahoma"/>
                <w:color w:val="000080"/>
                <w:sz w:val="12"/>
                <w:szCs w:val="12"/>
              </w:rPr>
              <w:t>ценах</w:t>
            </w:r>
            <w:proofErr w:type="gramEnd"/>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12892,240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12240,000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12545,000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12755,000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13000,000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12770,000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13125,000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13530,000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13050,000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13500,000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14000,000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102,200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94,940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102,490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104,210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106,210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101,790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102,900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104,080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102,190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102,860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103,470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3</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Объем реализации платных услуг населению</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lastRenderedPageBreak/>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4781,020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4159,220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4346,820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4365,670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4378,980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4549,240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4589,660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4615,500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4756,720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4820,690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4871,160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xml:space="preserve">сопоставимых </w:t>
            </w:r>
            <w:proofErr w:type="gramStart"/>
            <w:r w:rsidRPr="00AE1728">
              <w:rPr>
                <w:rFonts w:ascii="Tahoma" w:eastAsia="Times New Roman" w:hAnsi="Tahoma" w:cs="Tahoma"/>
                <w:color w:val="000080"/>
                <w:sz w:val="12"/>
                <w:szCs w:val="12"/>
              </w:rPr>
              <w:t>ценах</w:t>
            </w:r>
            <w:proofErr w:type="gramEnd"/>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4781,020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3968,720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3969,000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3990,000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4010,000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3975,000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4018,000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4060,000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3985,000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4050,000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4120,000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100,500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83,010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100,010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100,540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101,040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100,150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100,700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101,250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100,250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100,800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101,480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4</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Оборот общественного питания</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382,060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310,790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321,980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324,880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327,240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334,350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341,470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346,320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347,450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359,620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368,800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сопоставимых ценах</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382,062</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300,000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300,000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303,000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305,500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301,000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308,000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313,000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302,500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314,000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323,000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100,900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78,520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101,830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100,330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101,650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102,450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100,500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101,950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103,190</w:t>
            </w:r>
          </w:p>
        </w:tc>
      </w:tr>
      <w:tr w:rsidR="00AE1728" w:rsidRPr="00AE1728" w:rsidTr="00AE1728">
        <w:trPr>
          <w:trHeight w:val="142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5</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1844,420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2004,040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2134,250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2152,390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2254,140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2282,710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2302,500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2446,100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2441,100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2464,130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2615,660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сопоставимых ценах</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1844,420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1908,590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1924,830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1944,920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2040,570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1951,460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1975,800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2106,960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1980,040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2010,020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2145,740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110,800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103,480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100,850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101,900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106,920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101,380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101,590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103,250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101,460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101,730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101,840</w:t>
            </w:r>
          </w:p>
        </w:tc>
      </w:tr>
      <w:tr w:rsidR="00AE1728" w:rsidRPr="00AE1728" w:rsidTr="00AE1728">
        <w:trPr>
          <w:trHeight w:val="142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Объем инвестиций в основной капитал (за исключением бюджетных средств) (без субъектов малого предпринимательства и объемов инвестиций, не наблюдаемых прямыми статистическими методами)</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 в сопоставимых ценах</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1210,270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1872,100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1872,520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1890,710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1984,440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1803,640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1825,710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1954,580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1934,660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1962,750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2096,560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 в сопоставимых ценах</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103,200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154,680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100,020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100,990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106,000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96,320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96,560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98,500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107,260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107,510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107,260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рублей в ценах соответствующих лет</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1210,270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1965,650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2076,140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2092,310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2191,940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2109,720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2127,410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2269,170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2385,080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2406,110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2555,610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6</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Продукция сельского хозяйства во всех категориях хозяйств</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ценах соответствующих лет</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2136,871</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2249,350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2374,560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2386,300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2416,520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2509,200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2779,140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3096,320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2656,640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3335,490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4362,270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в сопоставимых ценах</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2136,871</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2179,600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2218,830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2236,270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2266,780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2260,990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2513,920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2806,240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2306,210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2909,520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3816,210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в</w:t>
            </w:r>
            <w:proofErr w:type="gramEnd"/>
            <w:r w:rsidRPr="00AE1728">
              <w:rPr>
                <w:rFonts w:ascii="Tahoma" w:eastAsia="Times New Roman" w:hAnsi="Tahoma" w:cs="Tahoma"/>
                <w:color w:val="000080"/>
                <w:sz w:val="12"/>
                <w:szCs w:val="12"/>
              </w:rPr>
              <w:t xml:space="preserve"> % </w:t>
            </w:r>
            <w:proofErr w:type="gramStart"/>
            <w:r w:rsidRPr="00AE1728">
              <w:rPr>
                <w:rFonts w:ascii="Tahoma" w:eastAsia="Times New Roman" w:hAnsi="Tahoma" w:cs="Tahoma"/>
                <w:color w:val="000080"/>
                <w:sz w:val="12"/>
                <w:szCs w:val="12"/>
              </w:rPr>
              <w:t>к</w:t>
            </w:r>
            <w:proofErr w:type="gramEnd"/>
            <w:r w:rsidRPr="00AE1728">
              <w:rPr>
                <w:rFonts w:ascii="Tahoma" w:eastAsia="Times New Roman" w:hAnsi="Tahoma" w:cs="Tahoma"/>
                <w:color w:val="000080"/>
                <w:sz w:val="12"/>
                <w:szCs w:val="12"/>
              </w:rPr>
              <w:t xml:space="preserve"> предыдущему году</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99,500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101,800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102,600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104,000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101,900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112,420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123,800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102,000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115,740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135,990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7</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Финансы</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lastRenderedPageBreak/>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Доходы</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color w:val="FF0000"/>
                <w:sz w:val="12"/>
                <w:szCs w:val="12"/>
              </w:rPr>
            </w:pPr>
            <w:r w:rsidRPr="00AE1728">
              <w:rPr>
                <w:rFonts w:ascii="Tahoma" w:eastAsia="Times New Roman" w:hAnsi="Tahoma" w:cs="Tahoma"/>
                <w:color w:val="FF0000"/>
                <w:sz w:val="12"/>
                <w:szCs w:val="12"/>
              </w:rPr>
              <w:t> </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300" w:firstLine="360"/>
              <w:rPr>
                <w:rFonts w:ascii="Tahoma" w:eastAsia="Times New Roman" w:hAnsi="Tahoma" w:cs="Tahoma"/>
                <w:color w:val="000080"/>
                <w:sz w:val="12"/>
                <w:szCs w:val="12"/>
              </w:rPr>
            </w:pPr>
            <w:r w:rsidRPr="00AE1728">
              <w:rPr>
                <w:rFonts w:ascii="Tahoma" w:eastAsia="Times New Roman" w:hAnsi="Tahoma" w:cs="Tahoma"/>
                <w:color w:val="000080"/>
                <w:sz w:val="12"/>
                <w:szCs w:val="12"/>
              </w:rPr>
              <w:t>Прибыль прибыльных организаций</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1617,020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1290,500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1251,790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1355,030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1380,840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1264,300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1409,230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1449,880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1265,570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1451,500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1507,870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500" w:firstLine="600"/>
              <w:rPr>
                <w:rFonts w:ascii="Tahoma" w:eastAsia="Times New Roman" w:hAnsi="Tahoma" w:cs="Tahoma"/>
                <w:color w:val="000080"/>
                <w:sz w:val="12"/>
                <w:szCs w:val="12"/>
              </w:rPr>
            </w:pPr>
            <w:proofErr w:type="spellStart"/>
            <w:r w:rsidRPr="00AE1728">
              <w:rPr>
                <w:rFonts w:ascii="Tahoma" w:eastAsia="Times New Roman" w:hAnsi="Tahoma" w:cs="Tahoma"/>
                <w:color w:val="000080"/>
                <w:sz w:val="12"/>
                <w:szCs w:val="12"/>
              </w:rPr>
              <w:t>Справочно</w:t>
            </w:r>
            <w:proofErr w:type="spellEnd"/>
            <w:r w:rsidRPr="00AE1728">
              <w:rPr>
                <w:rFonts w:ascii="Tahoma" w:eastAsia="Times New Roman" w:hAnsi="Tahoma" w:cs="Tahoma"/>
                <w:color w:val="000080"/>
                <w:sz w:val="12"/>
                <w:szCs w:val="12"/>
              </w:rPr>
              <w:t>: сальдо прибылей и убытков</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1382,400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985,650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956,080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1034,940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1054,650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965,650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1076,330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1107,380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966,610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1108,620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1151,680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Доходы бюджетов муниципальных районов и городских округов - всего</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2300,330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2181,338</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1617,345</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2310,476</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2541,527</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1643,661</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2348,093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2582,908</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1674,205</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2391,723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2630,890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300" w:firstLine="360"/>
              <w:rPr>
                <w:rFonts w:ascii="Tahoma" w:eastAsia="Times New Roman" w:hAnsi="Tahoma" w:cs="Tahoma"/>
                <w:color w:val="000080"/>
                <w:sz w:val="12"/>
                <w:szCs w:val="12"/>
              </w:rPr>
            </w:pPr>
            <w:r w:rsidRPr="00AE1728">
              <w:rPr>
                <w:rFonts w:ascii="Tahoma" w:eastAsia="Times New Roman" w:hAnsi="Tahoma" w:cs="Tahoma"/>
                <w:color w:val="000080"/>
                <w:sz w:val="12"/>
                <w:szCs w:val="12"/>
              </w:rPr>
              <w:t>Налоговые и неналоговые доходы</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w:t>
            </w:r>
            <w:proofErr w:type="gramStart"/>
            <w:r w:rsidRPr="00AE1728">
              <w:rPr>
                <w:rFonts w:ascii="Tahoma" w:eastAsia="Times New Roman" w:hAnsi="Tahoma" w:cs="Tahoma"/>
                <w:color w:val="000080"/>
                <w:sz w:val="12"/>
                <w:szCs w:val="12"/>
              </w:rPr>
              <w:t>.р</w:t>
            </w:r>
            <w:proofErr w:type="gramEnd"/>
            <w:r w:rsidRPr="00AE1728">
              <w:rPr>
                <w:rFonts w:ascii="Tahoma" w:eastAsia="Times New Roman" w:hAnsi="Tahoma" w:cs="Tahoma"/>
                <w:color w:val="000080"/>
                <w:sz w:val="12"/>
                <w:szCs w:val="12"/>
              </w:rPr>
              <w:t>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886,270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649,138</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519,055</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741,506</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815,657</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523,421</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747,743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822,518</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530,435</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757,763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833,540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ind w:firstLineChars="100" w:firstLine="120"/>
              <w:rPr>
                <w:rFonts w:ascii="Tahoma" w:eastAsia="Times New Roman" w:hAnsi="Tahoma" w:cs="Tahoma"/>
                <w:color w:val="000080"/>
                <w:sz w:val="12"/>
                <w:szCs w:val="12"/>
              </w:rPr>
            </w:pPr>
            <w:r w:rsidRPr="00AE1728">
              <w:rPr>
                <w:rFonts w:ascii="Tahoma" w:eastAsia="Times New Roman" w:hAnsi="Tahoma" w:cs="Tahoma"/>
                <w:color w:val="000080"/>
                <w:sz w:val="12"/>
                <w:szCs w:val="12"/>
              </w:rPr>
              <w:t>Расходы бюджетов муниципальных районов и городских округов - всего</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млн. рублей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2290,010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2012,900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1617,345</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2310,476</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2541,527</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1643,661</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2348,093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2582,908</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1674,205</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2391,723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2630,890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8</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Численность населения (среднегодовая) - всего</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чел.</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95855,000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95300,000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95290,000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95295,000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95310,000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95285,000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95295,000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95320,000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95280,000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95296,000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95330,000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9</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Коэффициент миграционного прироста (на 10 тыс. населения)</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человек на 10 тыс. человек</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3,440</w:t>
            </w:r>
          </w:p>
        </w:tc>
        <w:tc>
          <w:tcPr>
            <w:tcW w:w="993" w:type="dxa"/>
            <w:tcBorders>
              <w:top w:val="nil"/>
              <w:left w:val="single" w:sz="4" w:space="0" w:color="C0C0C0"/>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-34,080</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36,650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36,320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36,250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34,280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32,600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31,250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31,680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29,000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26,250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10</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xml:space="preserve">Численность </w:t>
            </w:r>
            <w:proofErr w:type="gramStart"/>
            <w:r w:rsidRPr="00AE1728">
              <w:rPr>
                <w:rFonts w:ascii="Tahoma" w:eastAsia="Times New Roman" w:hAnsi="Tahoma" w:cs="Tahoma"/>
                <w:color w:val="000080"/>
                <w:sz w:val="12"/>
                <w:szCs w:val="12"/>
              </w:rPr>
              <w:t>занятых</w:t>
            </w:r>
            <w:proofErr w:type="gramEnd"/>
            <w:r w:rsidRPr="00AE1728">
              <w:rPr>
                <w:rFonts w:ascii="Tahoma" w:eastAsia="Times New Roman" w:hAnsi="Tahoma" w:cs="Tahoma"/>
                <w:color w:val="000080"/>
                <w:sz w:val="12"/>
                <w:szCs w:val="12"/>
              </w:rPr>
              <w:t xml:space="preserve"> в экономике (среднегодовая) - всего</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чел.</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44072,000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43818,000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43804,000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43885,000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43945,000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43800,000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43889,000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43952,000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43796,000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43893,000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43958,000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11</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Фонд заработной платы работников - всего</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тыс. руб.</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7776322,740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7931849,195</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7923917,346</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8177736,520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8288782,409</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8169558,783</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8506970,073</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8662150,482</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8498463,103</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8868516,301</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9018514,967</w:t>
            </w:r>
          </w:p>
        </w:tc>
      </w:tr>
      <w:tr w:rsidR="00AE1728" w:rsidRPr="00AE1728" w:rsidTr="00AE1728">
        <w:trPr>
          <w:trHeight w:val="76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12</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 xml:space="preserve">Среднемесячная начисленная заработная плата </w:t>
            </w:r>
            <w:proofErr w:type="spellStart"/>
            <w:r w:rsidRPr="00AE1728">
              <w:rPr>
                <w:rFonts w:ascii="Tahoma" w:eastAsia="Times New Roman" w:hAnsi="Tahoma" w:cs="Tahoma"/>
                <w:color w:val="000080"/>
                <w:sz w:val="12"/>
                <w:szCs w:val="12"/>
              </w:rPr>
              <w:t>c</w:t>
            </w:r>
            <w:proofErr w:type="spellEnd"/>
            <w:r w:rsidRPr="00AE1728">
              <w:rPr>
                <w:rFonts w:ascii="Tahoma" w:eastAsia="Times New Roman" w:hAnsi="Tahoma" w:cs="Tahoma"/>
                <w:color w:val="000080"/>
                <w:sz w:val="12"/>
                <w:szCs w:val="12"/>
              </w:rPr>
              <w:t xml:space="preserve"> учетом субъектов малого предпринимательства</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рублей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28202,060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29214,914</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29342,626</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30220,756</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30574,180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30256,280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31434,648</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31944,323</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31478,587</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32767,714</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33252,640</w:t>
            </w:r>
          </w:p>
        </w:tc>
      </w:tr>
      <w:tr w:rsidR="00AE1728" w:rsidRPr="00AE1728" w:rsidTr="00AE1728">
        <w:trPr>
          <w:trHeight w:val="33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13</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Среднемесячная заработная плата</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рублей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32772,100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34738,426</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35103,179</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36892,208</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37204,854</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37279,577</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39216,418</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39622,232</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39628,190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41726,268</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42236,082</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14</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Среднемесячные денежные доходы на душу населения</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рублей</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17358,500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18085,530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18240,670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18838,840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19052,080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18686,480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19636,020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20083,870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19268,380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20644,640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21217,750</w:t>
            </w:r>
          </w:p>
        </w:tc>
      </w:tr>
      <w:tr w:rsidR="00AE1728" w:rsidRPr="00AE1728" w:rsidTr="00AE1728">
        <w:trPr>
          <w:trHeight w:val="990"/>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15</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proofErr w:type="gramStart"/>
            <w:r w:rsidRPr="00AE1728">
              <w:rPr>
                <w:rFonts w:ascii="Tahoma" w:eastAsia="Times New Roman" w:hAnsi="Tahoma" w:cs="Tahoma"/>
                <w:color w:val="000080"/>
                <w:sz w:val="12"/>
                <w:szCs w:val="12"/>
              </w:rPr>
              <w:t>Уровень зарегистрированной безработицы (на конец периода в % к численности экономически активного населения)</w:t>
            </w:r>
            <w:proofErr w:type="gramEnd"/>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0,660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2,360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2,360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1,180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0,790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0,980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0,890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0,770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0,960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0,870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0,750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16</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Ввод в эксплуатацию жилых домов за счет всех источников финансирования</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кв</w:t>
            </w:r>
            <w:proofErr w:type="gramStart"/>
            <w:r w:rsidRPr="00AE1728">
              <w:rPr>
                <w:rFonts w:ascii="Tahoma" w:eastAsia="Times New Roman" w:hAnsi="Tahoma" w:cs="Tahoma"/>
                <w:color w:val="000080"/>
                <w:sz w:val="12"/>
                <w:szCs w:val="12"/>
              </w:rPr>
              <w:t>.м</w:t>
            </w:r>
            <w:proofErr w:type="gramEnd"/>
            <w:r w:rsidRPr="00AE1728">
              <w:rPr>
                <w:rFonts w:ascii="Tahoma" w:eastAsia="Times New Roman" w:hAnsi="Tahoma" w:cs="Tahoma"/>
                <w:color w:val="000080"/>
                <w:sz w:val="12"/>
                <w:szCs w:val="12"/>
              </w:rPr>
              <w:t xml:space="preserve"> общей площади</w:t>
            </w:r>
          </w:p>
        </w:tc>
        <w:tc>
          <w:tcPr>
            <w:tcW w:w="992" w:type="dxa"/>
            <w:tcBorders>
              <w:top w:val="nil"/>
              <w:left w:val="nil"/>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54490,000</w:t>
            </w:r>
          </w:p>
        </w:tc>
        <w:tc>
          <w:tcPr>
            <w:tcW w:w="993" w:type="dxa"/>
            <w:tcBorders>
              <w:top w:val="nil"/>
              <w:left w:val="single" w:sz="4" w:space="0" w:color="C0C0C0"/>
              <w:bottom w:val="single" w:sz="4" w:space="0" w:color="C0C0C0"/>
              <w:right w:val="nil"/>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54800,000</w:t>
            </w:r>
          </w:p>
        </w:tc>
        <w:tc>
          <w:tcPr>
            <w:tcW w:w="1044" w:type="dxa"/>
            <w:tcBorders>
              <w:top w:val="nil"/>
              <w:left w:val="single" w:sz="4" w:space="0" w:color="C0C0C0"/>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61971,000</w:t>
            </w:r>
          </w:p>
        </w:tc>
        <w:tc>
          <w:tcPr>
            <w:tcW w:w="108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63236,000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63868,000</w:t>
            </w:r>
          </w:p>
        </w:tc>
        <w:tc>
          <w:tcPr>
            <w:tcW w:w="89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68603,000</w:t>
            </w:r>
          </w:p>
        </w:tc>
        <w:tc>
          <w:tcPr>
            <w:tcW w:w="98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70003,000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70703,000</w:t>
            </w:r>
          </w:p>
        </w:tc>
        <w:tc>
          <w:tcPr>
            <w:tcW w:w="103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73885,000</w:t>
            </w:r>
          </w:p>
        </w:tc>
        <w:tc>
          <w:tcPr>
            <w:tcW w:w="992"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75393,000</w:t>
            </w:r>
          </w:p>
        </w:tc>
        <w:tc>
          <w:tcPr>
            <w:tcW w:w="1250" w:type="dxa"/>
            <w:tcBorders>
              <w:top w:val="nil"/>
              <w:left w:val="nil"/>
              <w:bottom w:val="single" w:sz="4" w:space="0" w:color="C0C0C0"/>
              <w:right w:val="single" w:sz="4" w:space="0" w:color="C0C0C0"/>
            </w:tcBorders>
            <w:shd w:val="clear" w:color="000000" w:fill="F3F3F3"/>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76147,000</w:t>
            </w:r>
          </w:p>
        </w:tc>
      </w:tr>
      <w:tr w:rsidR="00AE1728" w:rsidRPr="00AE1728" w:rsidTr="00AE1728">
        <w:trPr>
          <w:trHeight w:val="76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17</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Общая площадь жилых помещений, приходящаяся на 1 жителя (на конец года)</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кв. м</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24,800</w:t>
            </w:r>
          </w:p>
        </w:tc>
        <w:tc>
          <w:tcPr>
            <w:tcW w:w="993" w:type="dxa"/>
            <w:tcBorders>
              <w:top w:val="nil"/>
              <w:left w:val="single" w:sz="4" w:space="0" w:color="C0C0C0"/>
              <w:bottom w:val="single" w:sz="4" w:space="0" w:color="C0C0C0"/>
              <w:right w:val="nil"/>
            </w:tcBorders>
            <w:shd w:val="clear" w:color="000000" w:fill="FFFFFF"/>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25,200</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25,200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25,390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25,620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25,390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25,590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25,900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25,590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25,780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26,000</w:t>
            </w:r>
          </w:p>
        </w:tc>
      </w:tr>
      <w:tr w:rsidR="00AE1728" w:rsidRPr="00AE1728" w:rsidTr="00AE1728">
        <w:trPr>
          <w:trHeight w:val="555"/>
        </w:trPr>
        <w:tc>
          <w:tcPr>
            <w:tcW w:w="553" w:type="dxa"/>
            <w:tcBorders>
              <w:top w:val="nil"/>
              <w:left w:val="single" w:sz="4" w:space="0" w:color="C0C0C0"/>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18</w:t>
            </w:r>
          </w:p>
        </w:tc>
        <w:tc>
          <w:tcPr>
            <w:tcW w:w="2579"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rPr>
                <w:rFonts w:ascii="Tahoma" w:eastAsia="Times New Roman" w:hAnsi="Tahoma" w:cs="Tahoma"/>
                <w:color w:val="000080"/>
                <w:sz w:val="12"/>
                <w:szCs w:val="12"/>
              </w:rPr>
            </w:pPr>
            <w:r w:rsidRPr="00AE1728">
              <w:rPr>
                <w:rFonts w:ascii="Tahoma" w:eastAsia="Times New Roman" w:hAnsi="Tahoma" w:cs="Tahoma"/>
                <w:color w:val="000080"/>
                <w:sz w:val="12"/>
                <w:szCs w:val="12"/>
              </w:rPr>
              <w:t>Ввод жилых домов, на душу населения</w:t>
            </w:r>
          </w:p>
        </w:tc>
        <w:tc>
          <w:tcPr>
            <w:tcW w:w="1120" w:type="dxa"/>
            <w:tcBorders>
              <w:top w:val="nil"/>
              <w:left w:val="nil"/>
              <w:bottom w:val="single" w:sz="4" w:space="0" w:color="C0C0C0"/>
              <w:right w:val="single" w:sz="4" w:space="0" w:color="C0C0C0"/>
            </w:tcBorders>
            <w:shd w:val="clear" w:color="000000" w:fill="F3F3F3"/>
            <w:vAlign w:val="center"/>
            <w:hideMark/>
          </w:tcPr>
          <w:p w:rsidR="00AE1728" w:rsidRPr="00AE1728" w:rsidRDefault="00AE1728" w:rsidP="00AE1728">
            <w:pPr>
              <w:spacing w:after="0" w:line="240" w:lineRule="auto"/>
              <w:jc w:val="center"/>
              <w:rPr>
                <w:rFonts w:ascii="Tahoma" w:eastAsia="Times New Roman" w:hAnsi="Tahoma" w:cs="Tahoma"/>
                <w:color w:val="000080"/>
                <w:sz w:val="12"/>
                <w:szCs w:val="12"/>
              </w:rPr>
            </w:pPr>
            <w:r w:rsidRPr="00AE1728">
              <w:rPr>
                <w:rFonts w:ascii="Tahoma" w:eastAsia="Times New Roman" w:hAnsi="Tahoma" w:cs="Tahoma"/>
                <w:color w:val="000080"/>
                <w:sz w:val="12"/>
                <w:szCs w:val="12"/>
              </w:rPr>
              <w:t>кв. метров на одного человека в год</w:t>
            </w:r>
          </w:p>
        </w:tc>
        <w:tc>
          <w:tcPr>
            <w:tcW w:w="992" w:type="dxa"/>
            <w:tcBorders>
              <w:top w:val="nil"/>
              <w:left w:val="nil"/>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0,570</w:t>
            </w:r>
          </w:p>
        </w:tc>
        <w:tc>
          <w:tcPr>
            <w:tcW w:w="993" w:type="dxa"/>
            <w:tcBorders>
              <w:top w:val="nil"/>
              <w:left w:val="single" w:sz="4" w:space="0" w:color="C0C0C0"/>
              <w:bottom w:val="single" w:sz="4" w:space="0" w:color="C0C0C0"/>
              <w:right w:val="nil"/>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0,575</w:t>
            </w:r>
          </w:p>
        </w:tc>
        <w:tc>
          <w:tcPr>
            <w:tcW w:w="1044" w:type="dxa"/>
            <w:tcBorders>
              <w:top w:val="nil"/>
              <w:left w:val="single" w:sz="4" w:space="0" w:color="C0C0C0"/>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0,650</w:t>
            </w:r>
          </w:p>
        </w:tc>
        <w:tc>
          <w:tcPr>
            <w:tcW w:w="108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0,660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0,670</w:t>
            </w:r>
          </w:p>
        </w:tc>
        <w:tc>
          <w:tcPr>
            <w:tcW w:w="89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0,720</w:t>
            </w:r>
          </w:p>
        </w:tc>
        <w:tc>
          <w:tcPr>
            <w:tcW w:w="98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0,730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0,740</w:t>
            </w:r>
          </w:p>
        </w:tc>
        <w:tc>
          <w:tcPr>
            <w:tcW w:w="103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0,780</w:t>
            </w:r>
          </w:p>
        </w:tc>
        <w:tc>
          <w:tcPr>
            <w:tcW w:w="992"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0,790</w:t>
            </w:r>
          </w:p>
        </w:tc>
        <w:tc>
          <w:tcPr>
            <w:tcW w:w="1250" w:type="dxa"/>
            <w:tcBorders>
              <w:top w:val="nil"/>
              <w:left w:val="nil"/>
              <w:bottom w:val="single" w:sz="4" w:space="0" w:color="C0C0C0"/>
              <w:right w:val="single" w:sz="4" w:space="0" w:color="C0C0C0"/>
            </w:tcBorders>
            <w:shd w:val="clear" w:color="auto" w:fill="auto"/>
            <w:noWrap/>
            <w:vAlign w:val="center"/>
            <w:hideMark/>
          </w:tcPr>
          <w:p w:rsidR="00AE1728" w:rsidRPr="00AE1728" w:rsidRDefault="00AE1728" w:rsidP="00AE1728">
            <w:pPr>
              <w:spacing w:after="0" w:line="240" w:lineRule="auto"/>
              <w:jc w:val="center"/>
              <w:rPr>
                <w:rFonts w:ascii="Tahoma" w:eastAsia="Times New Roman" w:hAnsi="Tahoma" w:cs="Tahoma"/>
                <w:sz w:val="12"/>
                <w:szCs w:val="12"/>
              </w:rPr>
            </w:pPr>
            <w:r w:rsidRPr="00AE1728">
              <w:rPr>
                <w:rFonts w:ascii="Tahoma" w:eastAsia="Times New Roman" w:hAnsi="Tahoma" w:cs="Tahoma"/>
                <w:sz w:val="12"/>
                <w:szCs w:val="12"/>
              </w:rPr>
              <w:t>0,800</w:t>
            </w:r>
          </w:p>
        </w:tc>
      </w:tr>
    </w:tbl>
    <w:p w:rsidR="000D13D1" w:rsidRPr="00AE1728" w:rsidRDefault="000D13D1" w:rsidP="00ED0538">
      <w:pPr>
        <w:pStyle w:val="a3"/>
        <w:ind w:firstLine="709"/>
        <w:jc w:val="both"/>
        <w:rPr>
          <w:rFonts w:ascii="Times New Roman" w:hAnsi="Times New Roman" w:cs="Times New Roman"/>
          <w:sz w:val="12"/>
          <w:szCs w:val="12"/>
        </w:rPr>
      </w:pPr>
    </w:p>
    <w:sectPr w:rsidR="000D13D1" w:rsidRPr="00AE1728" w:rsidSect="00AE1728">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CF" w:rsidRDefault="00F37BCF" w:rsidP="00B8460A">
      <w:pPr>
        <w:spacing w:after="0" w:line="240" w:lineRule="auto"/>
      </w:pPr>
      <w:r>
        <w:separator/>
      </w:r>
    </w:p>
  </w:endnote>
  <w:endnote w:type="continuationSeparator" w:id="0">
    <w:p w:rsidR="00F37BCF" w:rsidRDefault="00F37BCF" w:rsidP="00B84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CF" w:rsidRDefault="00F37BCF" w:rsidP="00B8460A">
      <w:pPr>
        <w:spacing w:after="0" w:line="240" w:lineRule="auto"/>
      </w:pPr>
      <w:r>
        <w:separator/>
      </w:r>
    </w:p>
  </w:footnote>
  <w:footnote w:type="continuationSeparator" w:id="0">
    <w:p w:rsidR="00F37BCF" w:rsidRDefault="00F37BCF" w:rsidP="00B84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C99"/>
    <w:multiLevelType w:val="hybridMultilevel"/>
    <w:tmpl w:val="0C289BE8"/>
    <w:lvl w:ilvl="0" w:tplc="AD04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36F9"/>
    <w:multiLevelType w:val="hybridMultilevel"/>
    <w:tmpl w:val="3840828C"/>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F49260A"/>
    <w:multiLevelType w:val="hybridMultilevel"/>
    <w:tmpl w:val="F98E3D80"/>
    <w:lvl w:ilvl="0" w:tplc="AD040C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5105F53"/>
    <w:multiLevelType w:val="hybridMultilevel"/>
    <w:tmpl w:val="89121E5E"/>
    <w:lvl w:ilvl="0" w:tplc="5A144ECA">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5FE64E6"/>
    <w:multiLevelType w:val="hybridMultilevel"/>
    <w:tmpl w:val="3516ECFE"/>
    <w:lvl w:ilvl="0" w:tplc="5A144E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883708"/>
    <w:multiLevelType w:val="hybridMultilevel"/>
    <w:tmpl w:val="7C149172"/>
    <w:lvl w:ilvl="0" w:tplc="8A5A1D26">
      <w:start w:val="1"/>
      <w:numFmt w:val="decimal"/>
      <w:lvlText w:val="%1."/>
      <w:lvlJc w:val="left"/>
      <w:pPr>
        <w:ind w:left="757" w:hanging="36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7B316175"/>
    <w:multiLevelType w:val="hybridMultilevel"/>
    <w:tmpl w:val="3536D772"/>
    <w:lvl w:ilvl="0" w:tplc="AD040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71BC"/>
    <w:rsid w:val="000125E2"/>
    <w:rsid w:val="00015381"/>
    <w:rsid w:val="00015DE6"/>
    <w:rsid w:val="00035220"/>
    <w:rsid w:val="00052EF0"/>
    <w:rsid w:val="000719A0"/>
    <w:rsid w:val="00073C76"/>
    <w:rsid w:val="000866D8"/>
    <w:rsid w:val="0009690B"/>
    <w:rsid w:val="000B120C"/>
    <w:rsid w:val="000D13D1"/>
    <w:rsid w:val="000E0BB9"/>
    <w:rsid w:val="00110A48"/>
    <w:rsid w:val="00133961"/>
    <w:rsid w:val="00141043"/>
    <w:rsid w:val="001941AA"/>
    <w:rsid w:val="00195EDD"/>
    <w:rsid w:val="0019678E"/>
    <w:rsid w:val="001B7505"/>
    <w:rsid w:val="001C03E0"/>
    <w:rsid w:val="001D7697"/>
    <w:rsid w:val="001E1426"/>
    <w:rsid w:val="001E5893"/>
    <w:rsid w:val="001F04E3"/>
    <w:rsid w:val="001F3174"/>
    <w:rsid w:val="00221B54"/>
    <w:rsid w:val="002277DE"/>
    <w:rsid w:val="0023637B"/>
    <w:rsid w:val="00236C04"/>
    <w:rsid w:val="00242CCC"/>
    <w:rsid w:val="002534D6"/>
    <w:rsid w:val="0026316E"/>
    <w:rsid w:val="002634AA"/>
    <w:rsid w:val="00264334"/>
    <w:rsid w:val="00264456"/>
    <w:rsid w:val="00271319"/>
    <w:rsid w:val="00274A94"/>
    <w:rsid w:val="00295F5F"/>
    <w:rsid w:val="002A43C9"/>
    <w:rsid w:val="002A7098"/>
    <w:rsid w:val="002B6D87"/>
    <w:rsid w:val="002D4A24"/>
    <w:rsid w:val="002D5CEC"/>
    <w:rsid w:val="002E3C14"/>
    <w:rsid w:val="002E4F5D"/>
    <w:rsid w:val="002F134F"/>
    <w:rsid w:val="00301C76"/>
    <w:rsid w:val="00302CCC"/>
    <w:rsid w:val="003124E9"/>
    <w:rsid w:val="00315CE3"/>
    <w:rsid w:val="00317286"/>
    <w:rsid w:val="00322070"/>
    <w:rsid w:val="003355FD"/>
    <w:rsid w:val="0034383E"/>
    <w:rsid w:val="00353687"/>
    <w:rsid w:val="00356CA0"/>
    <w:rsid w:val="003610CF"/>
    <w:rsid w:val="00364423"/>
    <w:rsid w:val="003752E7"/>
    <w:rsid w:val="00376F71"/>
    <w:rsid w:val="00395F0C"/>
    <w:rsid w:val="003A37CC"/>
    <w:rsid w:val="003A4E56"/>
    <w:rsid w:val="003A76AA"/>
    <w:rsid w:val="003C791A"/>
    <w:rsid w:val="003D091D"/>
    <w:rsid w:val="003E3AE6"/>
    <w:rsid w:val="003E461F"/>
    <w:rsid w:val="003E6F0C"/>
    <w:rsid w:val="0040678A"/>
    <w:rsid w:val="0040756E"/>
    <w:rsid w:val="00462857"/>
    <w:rsid w:val="00490DC9"/>
    <w:rsid w:val="004D0359"/>
    <w:rsid w:val="004D1317"/>
    <w:rsid w:val="004D2A00"/>
    <w:rsid w:val="004E645E"/>
    <w:rsid w:val="00514E20"/>
    <w:rsid w:val="005318AE"/>
    <w:rsid w:val="00532C78"/>
    <w:rsid w:val="00533E8F"/>
    <w:rsid w:val="005417BE"/>
    <w:rsid w:val="005562EC"/>
    <w:rsid w:val="0057474B"/>
    <w:rsid w:val="00580330"/>
    <w:rsid w:val="005A6958"/>
    <w:rsid w:val="005A7ACD"/>
    <w:rsid w:val="005D1BAF"/>
    <w:rsid w:val="005D3C17"/>
    <w:rsid w:val="005F0D55"/>
    <w:rsid w:val="00601C67"/>
    <w:rsid w:val="00624426"/>
    <w:rsid w:val="006407A6"/>
    <w:rsid w:val="006822DB"/>
    <w:rsid w:val="006B181C"/>
    <w:rsid w:val="006B706E"/>
    <w:rsid w:val="006D4995"/>
    <w:rsid w:val="006E2377"/>
    <w:rsid w:val="006F5AD2"/>
    <w:rsid w:val="00710009"/>
    <w:rsid w:val="00722A81"/>
    <w:rsid w:val="00726C39"/>
    <w:rsid w:val="0073139A"/>
    <w:rsid w:val="00733C2B"/>
    <w:rsid w:val="0076391E"/>
    <w:rsid w:val="00775141"/>
    <w:rsid w:val="0077521D"/>
    <w:rsid w:val="007936AC"/>
    <w:rsid w:val="007A117A"/>
    <w:rsid w:val="007D6E5E"/>
    <w:rsid w:val="007D7D03"/>
    <w:rsid w:val="007E63BD"/>
    <w:rsid w:val="007F089F"/>
    <w:rsid w:val="00815E67"/>
    <w:rsid w:val="0082098B"/>
    <w:rsid w:val="008232F9"/>
    <w:rsid w:val="00825674"/>
    <w:rsid w:val="00826B0A"/>
    <w:rsid w:val="008271BC"/>
    <w:rsid w:val="00830E2E"/>
    <w:rsid w:val="00841D30"/>
    <w:rsid w:val="00853D62"/>
    <w:rsid w:val="008562D3"/>
    <w:rsid w:val="00861654"/>
    <w:rsid w:val="008955DA"/>
    <w:rsid w:val="008A53A0"/>
    <w:rsid w:val="008E0DF5"/>
    <w:rsid w:val="009103C5"/>
    <w:rsid w:val="009174CF"/>
    <w:rsid w:val="00917F58"/>
    <w:rsid w:val="00923B01"/>
    <w:rsid w:val="00937801"/>
    <w:rsid w:val="00947362"/>
    <w:rsid w:val="00954959"/>
    <w:rsid w:val="00964174"/>
    <w:rsid w:val="00975F02"/>
    <w:rsid w:val="009807E1"/>
    <w:rsid w:val="00982F12"/>
    <w:rsid w:val="00992E15"/>
    <w:rsid w:val="009A667F"/>
    <w:rsid w:val="009C727F"/>
    <w:rsid w:val="009D0E99"/>
    <w:rsid w:val="009E28AF"/>
    <w:rsid w:val="009E310C"/>
    <w:rsid w:val="009F1FA8"/>
    <w:rsid w:val="009F53F2"/>
    <w:rsid w:val="00A31A66"/>
    <w:rsid w:val="00A32D99"/>
    <w:rsid w:val="00A3482A"/>
    <w:rsid w:val="00A36F89"/>
    <w:rsid w:val="00A3746D"/>
    <w:rsid w:val="00A442A9"/>
    <w:rsid w:val="00A53E92"/>
    <w:rsid w:val="00A56C35"/>
    <w:rsid w:val="00A5768B"/>
    <w:rsid w:val="00A62422"/>
    <w:rsid w:val="00A91182"/>
    <w:rsid w:val="00AA45FA"/>
    <w:rsid w:val="00AC10EE"/>
    <w:rsid w:val="00AC56C0"/>
    <w:rsid w:val="00AD367D"/>
    <w:rsid w:val="00AE1728"/>
    <w:rsid w:val="00AE4AFB"/>
    <w:rsid w:val="00B0028D"/>
    <w:rsid w:val="00B0132C"/>
    <w:rsid w:val="00B03C17"/>
    <w:rsid w:val="00B11EBF"/>
    <w:rsid w:val="00B3076F"/>
    <w:rsid w:val="00B4307E"/>
    <w:rsid w:val="00B635EF"/>
    <w:rsid w:val="00B66C6A"/>
    <w:rsid w:val="00B745DC"/>
    <w:rsid w:val="00B777DE"/>
    <w:rsid w:val="00B77B6F"/>
    <w:rsid w:val="00B8460A"/>
    <w:rsid w:val="00B85CAE"/>
    <w:rsid w:val="00B86670"/>
    <w:rsid w:val="00B97CBE"/>
    <w:rsid w:val="00BA0816"/>
    <w:rsid w:val="00BA125E"/>
    <w:rsid w:val="00BF7378"/>
    <w:rsid w:val="00C0229E"/>
    <w:rsid w:val="00C023D4"/>
    <w:rsid w:val="00C30D0C"/>
    <w:rsid w:val="00C439BA"/>
    <w:rsid w:val="00C45794"/>
    <w:rsid w:val="00C52398"/>
    <w:rsid w:val="00C63C17"/>
    <w:rsid w:val="00C65B9F"/>
    <w:rsid w:val="00C66D5A"/>
    <w:rsid w:val="00C83C2B"/>
    <w:rsid w:val="00C9625C"/>
    <w:rsid w:val="00CA1E2B"/>
    <w:rsid w:val="00CA4BA2"/>
    <w:rsid w:val="00CC2B2B"/>
    <w:rsid w:val="00CC3B9E"/>
    <w:rsid w:val="00CD3A8E"/>
    <w:rsid w:val="00CE01BB"/>
    <w:rsid w:val="00CE2F97"/>
    <w:rsid w:val="00CE3507"/>
    <w:rsid w:val="00CF325A"/>
    <w:rsid w:val="00D50E25"/>
    <w:rsid w:val="00D56376"/>
    <w:rsid w:val="00D8728D"/>
    <w:rsid w:val="00D92893"/>
    <w:rsid w:val="00D940DE"/>
    <w:rsid w:val="00DA0247"/>
    <w:rsid w:val="00DA1016"/>
    <w:rsid w:val="00DD1BC5"/>
    <w:rsid w:val="00DD1D8A"/>
    <w:rsid w:val="00DD37BC"/>
    <w:rsid w:val="00DE7685"/>
    <w:rsid w:val="00DF3868"/>
    <w:rsid w:val="00E0032C"/>
    <w:rsid w:val="00E21B8B"/>
    <w:rsid w:val="00E34058"/>
    <w:rsid w:val="00E34125"/>
    <w:rsid w:val="00E61010"/>
    <w:rsid w:val="00E7041B"/>
    <w:rsid w:val="00EA6708"/>
    <w:rsid w:val="00EC1A3A"/>
    <w:rsid w:val="00ED0538"/>
    <w:rsid w:val="00ED71DB"/>
    <w:rsid w:val="00EE388A"/>
    <w:rsid w:val="00EE5F58"/>
    <w:rsid w:val="00EF515D"/>
    <w:rsid w:val="00F300ED"/>
    <w:rsid w:val="00F37BCF"/>
    <w:rsid w:val="00F40EB4"/>
    <w:rsid w:val="00F52913"/>
    <w:rsid w:val="00F55E39"/>
    <w:rsid w:val="00F6523C"/>
    <w:rsid w:val="00F749C8"/>
    <w:rsid w:val="00F9350F"/>
    <w:rsid w:val="00F97379"/>
    <w:rsid w:val="00FA7263"/>
    <w:rsid w:val="00FB7CDF"/>
    <w:rsid w:val="00FC3F49"/>
    <w:rsid w:val="00FC6D84"/>
    <w:rsid w:val="00FC7926"/>
    <w:rsid w:val="00FD765A"/>
    <w:rsid w:val="00FE18C8"/>
    <w:rsid w:val="00FE2639"/>
    <w:rsid w:val="00FF05BF"/>
    <w:rsid w:val="00FF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9F"/>
  </w:style>
  <w:style w:type="paragraph" w:styleId="1">
    <w:name w:val="heading 1"/>
    <w:basedOn w:val="a"/>
    <w:next w:val="a"/>
    <w:link w:val="10"/>
    <w:qFormat/>
    <w:rsid w:val="003A37CC"/>
    <w:pPr>
      <w:keepNext/>
      <w:spacing w:after="0" w:line="240" w:lineRule="auto"/>
      <w:jc w:val="center"/>
      <w:outlineLvl w:val="0"/>
    </w:pPr>
    <w:rPr>
      <w:rFonts w:ascii="Times New Roman" w:eastAsia="Times New Roman" w:hAnsi="Times New Roman" w:cs="Times New Roman"/>
      <w:b/>
      <w:bCs/>
      <w:i/>
      <w:i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362"/>
    <w:pPr>
      <w:spacing w:after="0" w:line="240" w:lineRule="auto"/>
    </w:pPr>
  </w:style>
  <w:style w:type="paragraph" w:styleId="a4">
    <w:name w:val="Body Text"/>
    <w:basedOn w:val="a"/>
    <w:link w:val="a5"/>
    <w:rsid w:val="003E6F0C"/>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3E6F0C"/>
    <w:rPr>
      <w:rFonts w:ascii="Times New Roman" w:eastAsia="Times New Roman" w:hAnsi="Times New Roman" w:cs="Times New Roman"/>
      <w:sz w:val="28"/>
      <w:szCs w:val="24"/>
    </w:rPr>
  </w:style>
  <w:style w:type="character" w:customStyle="1" w:styleId="10">
    <w:name w:val="Заголовок 1 Знак"/>
    <w:basedOn w:val="a0"/>
    <w:link w:val="1"/>
    <w:rsid w:val="003A37CC"/>
    <w:rPr>
      <w:rFonts w:ascii="Times New Roman" w:eastAsia="Times New Roman" w:hAnsi="Times New Roman" w:cs="Times New Roman"/>
      <w:b/>
      <w:bCs/>
      <w:i/>
      <w:iCs/>
      <w:sz w:val="36"/>
      <w:szCs w:val="24"/>
    </w:rPr>
  </w:style>
  <w:style w:type="paragraph" w:styleId="a6">
    <w:name w:val="List Paragraph"/>
    <w:basedOn w:val="a"/>
    <w:uiPriority w:val="34"/>
    <w:qFormat/>
    <w:rsid w:val="00315CE3"/>
    <w:pPr>
      <w:ind w:left="720"/>
      <w:contextualSpacing/>
    </w:pPr>
    <w:rPr>
      <w:rFonts w:ascii="Calibri" w:eastAsia="Calibri" w:hAnsi="Calibri" w:cs="Times New Roman"/>
      <w:lang w:eastAsia="en-US"/>
    </w:rPr>
  </w:style>
  <w:style w:type="paragraph" w:styleId="2">
    <w:name w:val="Body Text Indent 2"/>
    <w:basedOn w:val="a"/>
    <w:link w:val="20"/>
    <w:rsid w:val="00315CE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15CE3"/>
    <w:rPr>
      <w:rFonts w:ascii="Times New Roman" w:eastAsia="Times New Roman" w:hAnsi="Times New Roman" w:cs="Times New Roman"/>
      <w:sz w:val="24"/>
      <w:szCs w:val="24"/>
    </w:rPr>
  </w:style>
  <w:style w:type="paragraph" w:styleId="a7">
    <w:name w:val="Body Text Indent"/>
    <w:basedOn w:val="a"/>
    <w:link w:val="a8"/>
    <w:rsid w:val="00315CE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315CE3"/>
    <w:rPr>
      <w:rFonts w:ascii="Times New Roman" w:eastAsia="Times New Roman" w:hAnsi="Times New Roman" w:cs="Times New Roman"/>
      <w:sz w:val="24"/>
      <w:szCs w:val="24"/>
    </w:rPr>
  </w:style>
  <w:style w:type="table" w:styleId="a9">
    <w:name w:val="Table Grid"/>
    <w:basedOn w:val="a1"/>
    <w:rsid w:val="00315C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315CE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15CE3"/>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A0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0247"/>
    <w:rPr>
      <w:rFonts w:ascii="Tahoma" w:hAnsi="Tahoma" w:cs="Tahoma"/>
      <w:sz w:val="16"/>
      <w:szCs w:val="16"/>
    </w:rPr>
  </w:style>
  <w:style w:type="paragraph" w:customStyle="1" w:styleId="CharChar">
    <w:name w:val="Char Char"/>
    <w:basedOn w:val="a"/>
    <w:uiPriority w:val="99"/>
    <w:rsid w:val="00B3076F"/>
    <w:pPr>
      <w:spacing w:after="0" w:line="240" w:lineRule="auto"/>
    </w:pPr>
    <w:rPr>
      <w:rFonts w:ascii="Times New Roman" w:eastAsia="Times New Roman" w:hAnsi="Times New Roman" w:cs="Times New Roman"/>
      <w:sz w:val="20"/>
      <w:szCs w:val="20"/>
      <w:lang w:val="en-US" w:eastAsia="en-US"/>
    </w:rPr>
  </w:style>
  <w:style w:type="paragraph" w:customStyle="1" w:styleId="western">
    <w:name w:val="western"/>
    <w:basedOn w:val="a"/>
    <w:rsid w:val="00E6101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B846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8460A"/>
  </w:style>
  <w:style w:type="paragraph" w:styleId="ae">
    <w:name w:val="footer"/>
    <w:basedOn w:val="a"/>
    <w:link w:val="af"/>
    <w:uiPriority w:val="99"/>
    <w:semiHidden/>
    <w:unhideWhenUsed/>
    <w:rsid w:val="00B846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460A"/>
  </w:style>
</w:styles>
</file>

<file path=word/webSettings.xml><?xml version="1.0" encoding="utf-8"?>
<w:webSettings xmlns:r="http://schemas.openxmlformats.org/officeDocument/2006/relationships" xmlns:w="http://schemas.openxmlformats.org/wordprocessingml/2006/main">
  <w:divs>
    <w:div w:id="15268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0"/>
    </c:view3D>
    <c:plotArea>
      <c:layout>
        <c:manualLayout>
          <c:layoutTarget val="inner"/>
          <c:xMode val="edge"/>
          <c:yMode val="edge"/>
          <c:x val="7.8443356455007981E-2"/>
          <c:y val="0.24409275782737064"/>
          <c:w val="0.92050592785033258"/>
          <c:h val="0.56758806668029793"/>
        </c:manualLayout>
      </c:layout>
      <c:pie3DChart>
        <c:varyColors val="1"/>
        <c:ser>
          <c:idx val="0"/>
          <c:order val="0"/>
          <c:tx>
            <c:strRef>
              <c:f>Sheet1!$A$2</c:f>
              <c:strCache>
                <c:ptCount val="1"/>
                <c:pt idx="0">
                  <c:v>Восток</c:v>
                </c:pt>
              </c:strCache>
            </c:strRef>
          </c:tx>
          <c:spPr>
            <a:solidFill>
              <a:srgbClr val="9999FF"/>
            </a:solidFill>
            <a:ln w="12631">
              <a:solidFill>
                <a:srgbClr val="000000"/>
              </a:solidFill>
              <a:prstDash val="solid"/>
            </a:ln>
          </c:spPr>
          <c:explosion val="47"/>
          <c:dPt>
            <c:idx val="0"/>
            <c:explosion val="23"/>
          </c:dPt>
          <c:dPt>
            <c:idx val="1"/>
            <c:spPr>
              <a:solidFill>
                <a:srgbClr val="00FF00"/>
              </a:solidFill>
              <a:ln w="12631">
                <a:solidFill>
                  <a:srgbClr val="000000"/>
                </a:solidFill>
                <a:prstDash val="solid"/>
              </a:ln>
            </c:spPr>
          </c:dPt>
          <c:dPt>
            <c:idx val="2"/>
            <c:spPr>
              <a:solidFill>
                <a:srgbClr val="FFFFCC"/>
              </a:solidFill>
              <a:ln w="12631">
                <a:solidFill>
                  <a:srgbClr val="000000"/>
                </a:solidFill>
                <a:prstDash val="solid"/>
              </a:ln>
            </c:spPr>
          </c:dPt>
          <c:dPt>
            <c:idx val="3"/>
            <c:spPr>
              <a:solidFill>
                <a:srgbClr val="CCFFFF"/>
              </a:solidFill>
              <a:ln w="12631">
                <a:solidFill>
                  <a:srgbClr val="000000"/>
                </a:solidFill>
                <a:prstDash val="solid"/>
              </a:ln>
            </c:spPr>
          </c:dPt>
          <c:dLbls>
            <c:dLbl>
              <c:idx val="0"/>
              <c:layout>
                <c:manualLayout>
                  <c:x val="8.568851381206169E-2"/>
                  <c:y val="3.7544470692305418E-2"/>
                </c:manualLayout>
              </c:layout>
              <c:tx>
                <c:rich>
                  <a:bodyPr/>
                  <a:lstStyle/>
                  <a:p>
                    <a:pPr>
                      <a:defRPr sz="850" b="1" i="0" u="none" strike="noStrike" baseline="0">
                        <a:solidFill>
                          <a:srgbClr val="000000"/>
                        </a:solidFill>
                        <a:latin typeface="Times New Roman" pitchFamily="18" charset="0"/>
                        <a:ea typeface="Arial Cyr"/>
                        <a:cs typeface="Times New Roman" pitchFamily="18" charset="0"/>
                      </a:defRPr>
                    </a:pPr>
                    <a:r>
                      <a:rPr lang="ru-RU" sz="850">
                        <a:latin typeface="Times New Roman" pitchFamily="18" charset="0"/>
                        <a:cs typeface="Times New Roman" pitchFamily="18" charset="0"/>
                      </a:rPr>
                      <a:t>Д</a:t>
                    </a:r>
                    <a:r>
                      <a:rPr lang="ru-RU"/>
                      <a:t>обыча полезных ископаемых </a:t>
                    </a:r>
                    <a:r>
                      <a:rPr lang="ru-RU" sz="1000"/>
                      <a:t>4%</a:t>
                    </a:r>
                  </a:p>
                </c:rich>
              </c:tx>
              <c:numFmt formatCode="0%" sourceLinked="0"/>
              <c:spPr>
                <a:noFill/>
                <a:ln w="25263">
                  <a:noFill/>
                </a:ln>
              </c:spPr>
              <c:dLblPos val="bestFit"/>
              <c:showCatName val="1"/>
              <c:showPercent val="1"/>
            </c:dLbl>
            <c:dLbl>
              <c:idx val="1"/>
              <c:layout>
                <c:manualLayout>
                  <c:x val="-1.0944821446800443E-2"/>
                  <c:y val="-0.1382592864944702"/>
                </c:manualLayout>
              </c:layout>
              <c:tx>
                <c:rich>
                  <a:bodyPr/>
                  <a:lstStyle/>
                  <a:p>
                    <a:pPr>
                      <a:defRPr sz="850" b="1" i="0" u="none" strike="noStrike" baseline="0">
                        <a:solidFill>
                          <a:srgbClr val="000000"/>
                        </a:solidFill>
                        <a:latin typeface="Times New Roman" pitchFamily="18" charset="0"/>
                        <a:ea typeface="Arial Cyr"/>
                        <a:cs typeface="Times New Roman" pitchFamily="18" charset="0"/>
                      </a:defRPr>
                    </a:pPr>
                    <a:r>
                      <a:rPr lang="ru-RU" sz="850">
                        <a:latin typeface="Times New Roman" pitchFamily="18" charset="0"/>
                        <a:cs typeface="Times New Roman" pitchFamily="18" charset="0"/>
                      </a:rPr>
                      <a:t>Обрабатывающие производства </a:t>
                    </a:r>
                    <a:r>
                      <a:rPr lang="ru-RU" sz="1000">
                        <a:latin typeface="Times New Roman" pitchFamily="18" charset="0"/>
                        <a:cs typeface="Times New Roman" pitchFamily="18" charset="0"/>
                      </a:rPr>
                      <a:t>83%</a:t>
                    </a:r>
                    <a:endParaRPr lang="ru-RU" sz="1000"/>
                  </a:p>
                </c:rich>
              </c:tx>
              <c:numFmt formatCode="0%" sourceLinked="0"/>
              <c:spPr>
                <a:noFill/>
                <a:ln w="25263">
                  <a:noFill/>
                </a:ln>
              </c:spPr>
              <c:dLblPos val="bestFit"/>
              <c:showCatName val="1"/>
              <c:showPercent val="1"/>
            </c:dLbl>
            <c:dLbl>
              <c:idx val="2"/>
              <c:layout>
                <c:manualLayout>
                  <c:x val="0.11260897361801399"/>
                  <c:y val="-0.12208069074386979"/>
                </c:manualLayout>
              </c:layout>
              <c:tx>
                <c:rich>
                  <a:bodyPr/>
                  <a:lstStyle/>
                  <a:p>
                    <a:pPr>
                      <a:defRPr sz="850" b="1" i="0" u="none" strike="noStrike" baseline="0">
                        <a:solidFill>
                          <a:srgbClr val="000000"/>
                        </a:solidFill>
                        <a:latin typeface="Times New Roman" pitchFamily="18" charset="0"/>
                        <a:ea typeface="Arial Cyr"/>
                        <a:cs typeface="Times New Roman" pitchFamily="18" charset="0"/>
                      </a:defRPr>
                    </a:pPr>
                    <a:r>
                      <a:rPr lang="ru-RU" sz="850" b="1">
                        <a:latin typeface="Times New Roman" pitchFamily="18" charset="0"/>
                        <a:cs typeface="Times New Roman" pitchFamily="18" charset="0"/>
                      </a:rPr>
                      <a:t>О</a:t>
                    </a:r>
                    <a:r>
                      <a:rPr lang="ru-RU" sz="850" b="1"/>
                      <a:t>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a:t>
                    </a:r>
                    <a:r>
                      <a:rPr lang="ru-RU" sz="1000" b="1"/>
                      <a:t>13%</a:t>
                    </a:r>
                    <a:endParaRPr lang="ru-RU" sz="1000"/>
                  </a:p>
                </c:rich>
              </c:tx>
              <c:numFmt formatCode="0%" sourceLinked="0"/>
              <c:spPr>
                <a:noFill/>
                <a:ln w="25263">
                  <a:noFill/>
                </a:ln>
              </c:spPr>
              <c:dLblPos val="bestFit"/>
              <c:showCatName val="1"/>
              <c:showPercent val="1"/>
            </c:dLbl>
            <c:delete val="1"/>
            <c:txPr>
              <a:bodyPr/>
              <a:lstStyle/>
              <a:p>
                <a:pPr>
                  <a:defRPr sz="850">
                    <a:latin typeface="Times New Roman" pitchFamily="18" charset="0"/>
                    <a:cs typeface="Times New Roman" pitchFamily="18" charset="0"/>
                  </a:defRPr>
                </a:pPr>
                <a:endParaRPr lang="ru-RU"/>
              </a:p>
            </c:txPr>
          </c:dLbls>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Sheet1!$B$2:$E$2</c:f>
              <c:numCache>
                <c:formatCode>General</c:formatCode>
                <c:ptCount val="4"/>
                <c:pt idx="0">
                  <c:v>814.9</c:v>
                </c:pt>
                <c:pt idx="1">
                  <c:v>17183</c:v>
                </c:pt>
                <c:pt idx="2">
                  <c:v>2759</c:v>
                </c:pt>
              </c:numCache>
            </c:numRef>
          </c:val>
        </c:ser>
        <c:ser>
          <c:idx val="1"/>
          <c:order val="1"/>
          <c:tx>
            <c:strRef>
              <c:f>Sheet1!$A$3</c:f>
              <c:strCache>
                <c:ptCount val="1"/>
              </c:strCache>
            </c:strRef>
          </c:tx>
          <c:spPr>
            <a:solidFill>
              <a:srgbClr val="993366"/>
            </a:solidFill>
            <a:ln w="12631">
              <a:solidFill>
                <a:srgbClr val="000000"/>
              </a:solidFill>
              <a:prstDash val="solid"/>
            </a:ln>
          </c:spPr>
          <c:explosion val="47"/>
          <c:dPt>
            <c:idx val="0"/>
            <c:spPr>
              <a:solidFill>
                <a:srgbClr val="9999FF"/>
              </a:solidFill>
              <a:ln w="12631">
                <a:solidFill>
                  <a:srgbClr val="000000"/>
                </a:solidFill>
                <a:prstDash val="solid"/>
              </a:ln>
            </c:spPr>
          </c:dPt>
          <c:dPt>
            <c:idx val="2"/>
            <c:spPr>
              <a:solidFill>
                <a:srgbClr val="FFFFCC"/>
              </a:solidFill>
              <a:ln w="12631">
                <a:solidFill>
                  <a:srgbClr val="000000"/>
                </a:solidFill>
                <a:prstDash val="solid"/>
              </a:ln>
            </c:spPr>
          </c:dPt>
          <c:dPt>
            <c:idx val="3"/>
            <c:spPr>
              <a:solidFill>
                <a:srgbClr val="CCFFFF"/>
              </a:solidFill>
              <a:ln w="12631">
                <a:solidFill>
                  <a:srgbClr val="000000"/>
                </a:solidFill>
                <a:prstDash val="solid"/>
              </a:ln>
            </c:spPr>
          </c:dPt>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31">
              <a:solidFill>
                <a:srgbClr val="000000"/>
              </a:solidFill>
              <a:prstDash val="solid"/>
            </a:ln>
          </c:spPr>
          <c:explosion val="47"/>
          <c:dPt>
            <c:idx val="0"/>
            <c:spPr>
              <a:solidFill>
                <a:srgbClr val="9999FF"/>
              </a:solidFill>
              <a:ln w="12631">
                <a:solidFill>
                  <a:srgbClr val="000000"/>
                </a:solidFill>
                <a:prstDash val="solid"/>
              </a:ln>
            </c:spPr>
          </c:dPt>
          <c:dPt>
            <c:idx val="1"/>
            <c:spPr>
              <a:solidFill>
                <a:srgbClr val="993366"/>
              </a:solidFill>
              <a:ln w="12631">
                <a:solidFill>
                  <a:srgbClr val="000000"/>
                </a:solidFill>
                <a:prstDash val="solid"/>
              </a:ln>
            </c:spPr>
          </c:dPt>
          <c:dPt>
            <c:idx val="3"/>
            <c:spPr>
              <a:solidFill>
                <a:srgbClr val="CCFFFF"/>
              </a:solidFill>
              <a:ln w="12631">
                <a:solidFill>
                  <a:srgbClr val="000000"/>
                </a:solidFill>
                <a:prstDash val="solid"/>
              </a:ln>
            </c:spPr>
          </c:dPt>
          <c:cat>
            <c:strRef>
              <c:f>Sheet1!$B$1:$E$1</c:f>
              <c:strCache>
                <c:ptCount val="3"/>
                <c:pt idx="0">
                  <c:v>Добыча полезных ископаемых</c:v>
                </c:pt>
                <c:pt idx="1">
                  <c:v>Обрабатывающие производства</c:v>
                </c:pt>
                <c:pt idx="2">
                  <c:v>Распределение электроэнергии, газа, пара, водоснабжение и водоотведение, сбор и утилизация отходов</c:v>
                </c:pt>
              </c:strCache>
            </c:strRef>
          </c:cat>
          <c:val>
            <c:numRef>
              <c:f>Sheet1!$B$4:$E$4</c:f>
              <c:numCache>
                <c:formatCode>General</c:formatCode>
                <c:ptCount val="4"/>
              </c:numCache>
            </c:numRef>
          </c:val>
        </c:ser>
      </c:pie3DChart>
      <c:spPr>
        <a:solidFill>
          <a:srgbClr val="FFFFFF"/>
        </a:solidFill>
        <a:ln w="25263">
          <a:noFill/>
        </a:ln>
      </c:spPr>
    </c:plotArea>
    <c:plotVisOnly val="1"/>
    <c:dispBlanksAs val="zero"/>
  </c:chart>
  <c:spPr>
    <a:noFill/>
    <a:ln>
      <a:noFill/>
    </a:ln>
  </c:spPr>
  <c:txPr>
    <a:bodyPr/>
    <a:lstStyle/>
    <a:p>
      <a:pPr>
        <a:defRPr sz="1741"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08107-8DE8-4654-90CB-803C4D80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27</Pages>
  <Words>13112</Words>
  <Characters>74745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162</cp:revision>
  <cp:lastPrinted>2020-06-19T12:45:00Z</cp:lastPrinted>
  <dcterms:created xsi:type="dcterms:W3CDTF">2016-05-27T09:58:00Z</dcterms:created>
  <dcterms:modified xsi:type="dcterms:W3CDTF">2020-11-11T06:39:00Z</dcterms:modified>
</cp:coreProperties>
</file>